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61B36">
      <w:pPr>
        <w:spacing w:line="600" w:lineRule="exact"/>
        <w:jc w:val="center"/>
        <w:rPr>
          <w:rFonts w:ascii="宋体" w:hAnsi="宋体" w:eastAsia="宋体" w:cs="宋体"/>
          <w:b/>
          <w:bCs/>
          <w:kern w:val="0"/>
          <w:sz w:val="44"/>
          <w:szCs w:val="44"/>
        </w:rPr>
      </w:pPr>
    </w:p>
    <w:p w14:paraId="3C761B37">
      <w:pPr>
        <w:spacing w:line="360" w:lineRule="auto"/>
        <w:rPr>
          <w:rFonts w:cs="Arial" w:asciiTheme="minorEastAsia" w:hAnsiTheme="minorEastAsia"/>
          <w:sz w:val="24"/>
        </w:rPr>
      </w:pPr>
      <w:bookmarkStart w:id="0" w:name="_Toc19257"/>
    </w:p>
    <w:p w14:paraId="3C761B38">
      <w:pPr>
        <w:spacing w:line="360" w:lineRule="auto"/>
        <w:rPr>
          <w:rFonts w:cs="Arial" w:asciiTheme="minorEastAsia" w:hAnsiTheme="minorEastAsia"/>
          <w:sz w:val="24"/>
        </w:rPr>
      </w:pPr>
    </w:p>
    <w:p w14:paraId="3C761B39">
      <w:pPr>
        <w:spacing w:line="360" w:lineRule="auto"/>
        <w:rPr>
          <w:rFonts w:cs="Arial" w:asciiTheme="minorEastAsia" w:hAnsiTheme="minorEastAsia"/>
          <w:sz w:val="24"/>
        </w:rPr>
      </w:pPr>
    </w:p>
    <w:p w14:paraId="3C761B3A">
      <w:pPr>
        <w:spacing w:line="360" w:lineRule="auto"/>
        <w:rPr>
          <w:rFonts w:cs="Arial" w:asciiTheme="minorEastAsia" w:hAnsiTheme="minorEastAsia"/>
          <w:sz w:val="24"/>
        </w:rPr>
      </w:pPr>
    </w:p>
    <w:p w14:paraId="3C761B3B">
      <w:pPr>
        <w:spacing w:line="360" w:lineRule="auto"/>
        <w:rPr>
          <w:rFonts w:cs="Arial" w:asciiTheme="minorEastAsia" w:hAnsiTheme="minorEastAsia"/>
          <w:sz w:val="24"/>
        </w:rPr>
      </w:pPr>
    </w:p>
    <w:p w14:paraId="3C761B3C">
      <w:pPr>
        <w:spacing w:line="360" w:lineRule="auto"/>
        <w:rPr>
          <w:rFonts w:cs="Arial" w:asciiTheme="minorEastAsia" w:hAnsiTheme="minorEastAsia"/>
          <w:sz w:val="24"/>
        </w:rPr>
      </w:pPr>
    </w:p>
    <w:p w14:paraId="3C761B3D">
      <w:pPr>
        <w:spacing w:line="360" w:lineRule="auto"/>
        <w:rPr>
          <w:rFonts w:cs="Arial" w:asciiTheme="minorEastAsia" w:hAnsiTheme="minorEastAsia"/>
          <w:sz w:val="24"/>
        </w:rPr>
      </w:pPr>
    </w:p>
    <w:p w14:paraId="58A6CAEF">
      <w:pPr>
        <w:pBdr>
          <w:top w:val="thinThickSmallGap" w:color="auto" w:sz="24" w:space="1"/>
          <w:bottom w:val="thinThickSmallGap" w:color="auto" w:sz="24" w:space="17"/>
        </w:pBdr>
        <w:spacing w:line="1040" w:lineRule="exact"/>
        <w:ind w:left="1257" w:hanging="1253" w:hangingChars="313"/>
        <w:contextualSpacing/>
        <w:jc w:val="center"/>
        <w:rPr>
          <w:rFonts w:hint="eastAsia" w:ascii="宋体" w:hAnsi="宋体" w:eastAsia="宋体"/>
          <w:b/>
          <w:color w:val="auto"/>
          <w:sz w:val="40"/>
          <w:szCs w:val="40"/>
          <w:highlight w:val="none"/>
        </w:rPr>
      </w:pPr>
      <w:bookmarkStart w:id="1" w:name="OLE_LINK2"/>
      <w:bookmarkStart w:id="2" w:name="OLE_LINK1"/>
      <w:r>
        <w:rPr>
          <w:rFonts w:hint="eastAsia" w:ascii="宋体" w:hAnsi="宋体" w:eastAsia="宋体"/>
          <w:b/>
          <w:sz w:val="40"/>
          <w:szCs w:val="40"/>
        </w:rPr>
        <w:t>2026年</w:t>
      </w:r>
      <w:bookmarkEnd w:id="1"/>
      <w:bookmarkEnd w:id="2"/>
      <w:r>
        <w:rPr>
          <w:rFonts w:hint="eastAsia" w:ascii="宋体" w:hAnsi="宋体" w:eastAsia="宋体"/>
          <w:b/>
          <w:color w:val="auto"/>
          <w:sz w:val="40"/>
          <w:szCs w:val="40"/>
          <w:highlight w:val="none"/>
        </w:rPr>
        <w:t>网络巡检和低空AI算法仓</w:t>
      </w:r>
    </w:p>
    <w:p w14:paraId="3C761B3E">
      <w:pPr>
        <w:pBdr>
          <w:top w:val="thinThickSmallGap" w:color="auto" w:sz="24" w:space="1"/>
          <w:bottom w:val="thinThickSmallGap" w:color="auto" w:sz="24" w:space="17"/>
        </w:pBdr>
        <w:spacing w:line="1040" w:lineRule="exact"/>
        <w:ind w:left="1257" w:hanging="1253" w:hangingChars="313"/>
        <w:contextualSpacing/>
        <w:jc w:val="center"/>
        <w:rPr>
          <w:rFonts w:ascii="宋体" w:hAnsi="宋体" w:eastAsia="宋体"/>
          <w:b/>
          <w:sz w:val="40"/>
          <w:szCs w:val="40"/>
        </w:rPr>
      </w:pPr>
      <w:r>
        <w:rPr>
          <w:rFonts w:hint="eastAsia" w:ascii="宋体" w:hAnsi="宋体" w:eastAsia="宋体"/>
          <w:b/>
          <w:color w:val="auto"/>
          <w:sz w:val="40"/>
          <w:szCs w:val="40"/>
          <w:highlight w:val="none"/>
        </w:rPr>
        <w:t>无人机飞行支撑服务</w:t>
      </w:r>
      <w:r>
        <w:rPr>
          <w:rFonts w:hint="eastAsia" w:ascii="宋体" w:hAnsi="宋体" w:eastAsia="宋体"/>
          <w:b/>
          <w:sz w:val="40"/>
          <w:szCs w:val="40"/>
        </w:rPr>
        <w:t>项目技术规范书</w:t>
      </w:r>
    </w:p>
    <w:p w14:paraId="3C761B3F">
      <w:pPr>
        <w:spacing w:line="360" w:lineRule="auto"/>
        <w:rPr>
          <w:rFonts w:cs="Arial" w:asciiTheme="minorEastAsia" w:hAnsiTheme="minorEastAsia"/>
          <w:b/>
          <w:sz w:val="24"/>
        </w:rPr>
      </w:pPr>
    </w:p>
    <w:p w14:paraId="3C761B40">
      <w:pPr>
        <w:spacing w:line="360" w:lineRule="auto"/>
        <w:rPr>
          <w:rFonts w:cs="Arial" w:asciiTheme="minorEastAsia" w:hAnsiTheme="minorEastAsia"/>
          <w:sz w:val="24"/>
        </w:rPr>
      </w:pPr>
    </w:p>
    <w:p w14:paraId="3C761B41">
      <w:pPr>
        <w:spacing w:line="360" w:lineRule="auto"/>
        <w:rPr>
          <w:rFonts w:cs="Arial" w:asciiTheme="minorEastAsia" w:hAnsiTheme="minorEastAsia"/>
          <w:sz w:val="24"/>
        </w:rPr>
      </w:pPr>
    </w:p>
    <w:p w14:paraId="3C761B42">
      <w:pPr>
        <w:spacing w:line="360" w:lineRule="auto"/>
        <w:rPr>
          <w:rFonts w:cs="Arial" w:asciiTheme="minorEastAsia" w:hAnsiTheme="minorEastAsia"/>
          <w:sz w:val="24"/>
        </w:rPr>
      </w:pPr>
    </w:p>
    <w:p w14:paraId="3C761B43">
      <w:pPr>
        <w:spacing w:line="360" w:lineRule="auto"/>
        <w:rPr>
          <w:rFonts w:cs="Arial" w:asciiTheme="minorEastAsia" w:hAnsiTheme="minorEastAsia"/>
          <w:sz w:val="24"/>
        </w:rPr>
      </w:pPr>
    </w:p>
    <w:p w14:paraId="3C761B44">
      <w:pPr>
        <w:spacing w:line="360" w:lineRule="auto"/>
        <w:rPr>
          <w:rFonts w:cs="Arial" w:asciiTheme="minorEastAsia" w:hAnsiTheme="minorEastAsia"/>
          <w:sz w:val="24"/>
        </w:rPr>
      </w:pPr>
    </w:p>
    <w:p w14:paraId="3C761B45">
      <w:pPr>
        <w:spacing w:line="360" w:lineRule="auto"/>
        <w:rPr>
          <w:rFonts w:cs="Arial" w:asciiTheme="minorEastAsia" w:hAnsiTheme="minorEastAsia"/>
          <w:sz w:val="24"/>
        </w:rPr>
      </w:pPr>
    </w:p>
    <w:p w14:paraId="3C761B46">
      <w:pPr>
        <w:spacing w:line="360" w:lineRule="auto"/>
        <w:rPr>
          <w:rFonts w:cs="Arial" w:asciiTheme="minorEastAsia" w:hAnsiTheme="minorEastAsia"/>
          <w:sz w:val="24"/>
        </w:rPr>
      </w:pPr>
    </w:p>
    <w:p w14:paraId="3C761B47">
      <w:pPr>
        <w:spacing w:line="360" w:lineRule="auto"/>
        <w:rPr>
          <w:rFonts w:cs="Arial" w:asciiTheme="minorEastAsia" w:hAnsiTheme="minorEastAsia"/>
          <w:sz w:val="24"/>
        </w:rPr>
      </w:pPr>
    </w:p>
    <w:p w14:paraId="3C761B48">
      <w:pPr>
        <w:spacing w:line="360" w:lineRule="auto"/>
        <w:rPr>
          <w:rFonts w:cs="Arial" w:asciiTheme="minorEastAsia" w:hAnsiTheme="minorEastAsia"/>
          <w:sz w:val="24"/>
        </w:rPr>
      </w:pPr>
    </w:p>
    <w:p w14:paraId="3C761B49">
      <w:pPr>
        <w:spacing w:line="360" w:lineRule="auto"/>
        <w:rPr>
          <w:rFonts w:cs="Arial" w:asciiTheme="minorEastAsia" w:hAnsiTheme="minorEastAsia"/>
          <w:sz w:val="24"/>
        </w:rPr>
      </w:pPr>
    </w:p>
    <w:p w14:paraId="3C761B4A">
      <w:pPr>
        <w:spacing w:line="360" w:lineRule="auto"/>
        <w:rPr>
          <w:rFonts w:cs="Arial" w:asciiTheme="minorEastAsia" w:hAnsiTheme="minorEastAsia"/>
          <w:sz w:val="24"/>
        </w:rPr>
      </w:pPr>
    </w:p>
    <w:p w14:paraId="3C761B4B">
      <w:pPr>
        <w:spacing w:line="360" w:lineRule="auto"/>
        <w:jc w:val="center"/>
        <w:rPr>
          <w:rFonts w:cs="Arial" w:asciiTheme="minorEastAsia" w:hAnsiTheme="minorEastAsia"/>
          <w:b/>
          <w:bCs/>
          <w:sz w:val="24"/>
        </w:rPr>
      </w:pPr>
      <w:r>
        <w:rPr>
          <w:rFonts w:hint="eastAsia" w:cs="Arial" w:asciiTheme="minorEastAsia" w:hAnsiTheme="minorEastAsia"/>
          <w:b/>
          <w:bCs/>
          <w:sz w:val="24"/>
        </w:rPr>
        <w:t>中移湾区（广东）创新研究院</w:t>
      </w:r>
    </w:p>
    <w:bookmarkEnd w:id="0"/>
    <w:p w14:paraId="3C761B4C">
      <w:pPr>
        <w:pStyle w:val="9"/>
        <w:ind w:firstLine="210"/>
      </w:pPr>
    </w:p>
    <w:p w14:paraId="3C761B4D">
      <w:pPr>
        <w:rPr>
          <w:rFonts w:ascii="Arial" w:hAnsi="Arial" w:eastAsia="黑体" w:cs="Times New Roman"/>
          <w:b/>
          <w:bCs/>
          <w:snapToGrid w:val="0"/>
          <w:sz w:val="24"/>
        </w:rPr>
      </w:pPr>
      <w:r>
        <w:rPr>
          <w:rFonts w:hint="eastAsia" w:ascii="Arial" w:hAnsi="Arial" w:eastAsia="黑体" w:cs="Times New Roman"/>
          <w:b/>
          <w:bCs/>
          <w:snapToGrid w:val="0"/>
          <w:sz w:val="24"/>
        </w:rPr>
        <w:br w:type="page"/>
      </w:r>
    </w:p>
    <w:p w14:paraId="3C761B4E">
      <w:pPr>
        <w:keepNext/>
        <w:keepLines/>
        <w:numPr>
          <w:ilvl w:val="0"/>
          <w:numId w:val="2"/>
        </w:numPr>
        <w:spacing w:before="280" w:after="290" w:line="376" w:lineRule="auto"/>
        <w:outlineLvl w:val="3"/>
        <w:rPr>
          <w:rFonts w:ascii="Arial" w:hAnsi="Arial" w:eastAsia="黑体" w:cs="Times New Roman"/>
          <w:b/>
          <w:bCs/>
          <w:snapToGrid w:val="0"/>
          <w:sz w:val="24"/>
        </w:rPr>
      </w:pPr>
      <w:r>
        <w:rPr>
          <w:rFonts w:hint="eastAsia" w:ascii="Arial" w:hAnsi="Arial" w:eastAsia="黑体" w:cs="Times New Roman"/>
          <w:b/>
          <w:bCs/>
          <w:snapToGrid w:val="0"/>
          <w:sz w:val="24"/>
        </w:rPr>
        <w:t>项目概述</w:t>
      </w:r>
    </w:p>
    <w:p w14:paraId="3C761B4F">
      <w:pPr>
        <w:spacing w:line="360" w:lineRule="auto"/>
        <w:ind w:firstLine="480" w:firstLineChars="200"/>
        <w:jc w:val="left"/>
        <w:rPr>
          <w:rFonts w:ascii="宋体" w:hAnsi="宋体" w:eastAsia="宋体" w:cs="宋体"/>
          <w:sz w:val="24"/>
        </w:rPr>
      </w:pPr>
      <w:r>
        <w:rPr>
          <w:rFonts w:hint="eastAsia" w:ascii="宋体" w:hAnsi="宋体" w:eastAsia="宋体" w:cs="宋体"/>
          <w:sz w:val="24"/>
        </w:rPr>
        <w:t>针对当前通信基础设施巡检的痛点问题，研究智能化低空巡检系统，实现对通信基础设施的全面、精准、高效巡检及勘察。使用无人机与扫频装置收集数据，进行天线姿态检查、竞对识别与安全隐患识别。平台打造天线工参及图像识别能力、自动巡飞、频率识别、隐患识别四大核心功能，有效应用于工程验收、运维巡检、设施审计等场景，引领机巡替代人巡的生产力新变革，实现自动识别替代人工测量，建立数字化全流程闭环服务模式。</w:t>
      </w:r>
    </w:p>
    <w:p w14:paraId="3C761B50">
      <w:pPr>
        <w:spacing w:line="360" w:lineRule="auto"/>
        <w:ind w:firstLine="480" w:firstLineChars="200"/>
        <w:jc w:val="left"/>
        <w:rPr>
          <w:rFonts w:ascii="宋体" w:hAnsi="宋体" w:eastAsia="宋体" w:cs="宋体"/>
          <w:sz w:val="24"/>
        </w:rPr>
      </w:pPr>
      <w:r>
        <w:rPr>
          <w:rFonts w:hint="eastAsia" w:ascii="宋体" w:hAnsi="宋体" w:eastAsia="宋体" w:cs="宋体"/>
          <w:sz w:val="24"/>
        </w:rPr>
        <w:t>为满足湾区院“低空智慧巡检平台及服务”成果有效应用与服务交付，需开展本项目。</w:t>
      </w:r>
    </w:p>
    <w:p w14:paraId="3C761B51">
      <w:pPr>
        <w:keepNext/>
        <w:keepLines/>
        <w:numPr>
          <w:ilvl w:val="0"/>
          <w:numId w:val="2"/>
        </w:numPr>
        <w:spacing w:before="280" w:after="290" w:line="376" w:lineRule="auto"/>
        <w:outlineLvl w:val="3"/>
        <w:rPr>
          <w:rFonts w:ascii="Arial" w:hAnsi="Arial" w:eastAsia="黑体" w:cs="Times New Roman"/>
          <w:b/>
          <w:bCs/>
          <w:snapToGrid w:val="0"/>
          <w:sz w:val="24"/>
        </w:rPr>
      </w:pPr>
      <w:r>
        <w:rPr>
          <w:rFonts w:hint="eastAsia" w:ascii="Arial" w:hAnsi="Arial" w:eastAsia="黑体" w:cs="Times New Roman"/>
          <w:b/>
          <w:bCs/>
          <w:snapToGrid w:val="0"/>
          <w:sz w:val="24"/>
        </w:rPr>
        <w:t>服务内容及要求</w:t>
      </w:r>
    </w:p>
    <w:p w14:paraId="3C761B52">
      <w:pPr>
        <w:spacing w:line="360" w:lineRule="auto"/>
        <w:ind w:firstLine="480" w:firstLineChars="200"/>
        <w:jc w:val="left"/>
        <w:rPr>
          <w:rFonts w:ascii="宋体" w:hAnsi="宋体" w:eastAsia="宋体" w:cs="宋体"/>
          <w:sz w:val="24"/>
        </w:rPr>
      </w:pPr>
      <w:r>
        <w:rPr>
          <w:rFonts w:hint="eastAsia" w:ascii="宋体" w:hAnsi="宋体" w:eastAsia="宋体" w:cs="宋体"/>
          <w:sz w:val="24"/>
        </w:rPr>
        <w:t>总体服务内容：2026年</w:t>
      </w:r>
      <w:bookmarkStart w:id="3" w:name="OLE_LINK4"/>
      <w:bookmarkStart w:id="4" w:name="OLE_LINK3"/>
      <w:r>
        <w:rPr>
          <w:rFonts w:hint="eastAsia" w:ascii="宋体" w:hAnsi="宋体" w:eastAsia="宋体" w:cs="宋体"/>
          <w:sz w:val="24"/>
        </w:rPr>
        <w:t>网络巡检和低空AI算法仓</w:t>
      </w:r>
      <w:bookmarkEnd w:id="3"/>
      <w:bookmarkEnd w:id="4"/>
      <w:r>
        <w:rPr>
          <w:rFonts w:hint="eastAsia" w:ascii="宋体" w:hAnsi="宋体" w:eastAsia="宋体" w:cs="宋体"/>
          <w:sz w:val="24"/>
        </w:rPr>
        <w:t>无人机飞行支撑服务项目包含：</w:t>
      </w:r>
    </w:p>
    <w:p w14:paraId="3C761B53">
      <w:pPr>
        <w:pStyle w:val="5"/>
        <w:tabs>
          <w:tab w:val="left" w:pos="0"/>
          <w:tab w:val="left" w:pos="993"/>
          <w:tab w:val="left" w:pos="1134"/>
        </w:tabs>
        <w:spacing w:line="360" w:lineRule="auto"/>
        <w:rPr>
          <w:rFonts w:ascii="宋体" w:hAnsi="宋体" w:cs="宋体"/>
          <w:b/>
          <w:bCs/>
          <w:sz w:val="24"/>
          <w:szCs w:val="24"/>
        </w:rPr>
      </w:pPr>
      <w:r>
        <w:rPr>
          <w:rFonts w:hint="eastAsia" w:ascii="宋体" w:hAnsi="宋体" w:cs="宋体"/>
          <w:b/>
          <w:bCs/>
          <w:sz w:val="24"/>
          <w:szCs w:val="24"/>
        </w:rPr>
        <w:t>2</w:t>
      </w:r>
      <w:r>
        <w:rPr>
          <w:rFonts w:ascii="宋体" w:hAnsi="宋体" w:cs="宋体"/>
          <w:b/>
          <w:bCs/>
          <w:sz w:val="24"/>
          <w:szCs w:val="24"/>
        </w:rPr>
        <w:t>.1</w:t>
      </w:r>
      <w:r>
        <w:rPr>
          <w:rFonts w:hint="eastAsia" w:ascii="宋体" w:hAnsi="宋体" w:cs="宋体"/>
          <w:b/>
          <w:bCs/>
          <w:sz w:val="24"/>
          <w:szCs w:val="24"/>
        </w:rPr>
        <w:t>、服务内容及工作量要求：</w:t>
      </w:r>
    </w:p>
    <w:tbl>
      <w:tblPr>
        <w:tblStyle w:val="10"/>
        <w:tblW w:w="4998" w:type="pct"/>
        <w:tblInd w:w="0" w:type="dxa"/>
        <w:tblLayout w:type="autofit"/>
        <w:tblCellMar>
          <w:top w:w="0" w:type="dxa"/>
          <w:left w:w="108" w:type="dxa"/>
          <w:bottom w:w="0" w:type="dxa"/>
          <w:right w:w="108" w:type="dxa"/>
        </w:tblCellMar>
      </w:tblPr>
      <w:tblGrid>
        <w:gridCol w:w="904"/>
        <w:gridCol w:w="1711"/>
        <w:gridCol w:w="5055"/>
        <w:gridCol w:w="849"/>
      </w:tblGrid>
      <w:tr w14:paraId="3C761B58">
        <w:trPr>
          <w:trHeight w:val="560" w:hRule="atLeast"/>
        </w:trPr>
        <w:tc>
          <w:tcPr>
            <w:tcW w:w="531" w:type="pct"/>
            <w:tcBorders>
              <w:top w:val="single" w:color="000000" w:sz="4" w:space="0"/>
              <w:left w:val="single" w:color="000000" w:sz="4" w:space="0"/>
              <w:bottom w:val="single" w:color="000000" w:sz="4" w:space="0"/>
              <w:right w:val="single" w:color="000000" w:sz="4" w:space="0"/>
            </w:tcBorders>
            <w:noWrap/>
            <w:vAlign w:val="center"/>
          </w:tcPr>
          <w:p w14:paraId="3C761B54">
            <w:pPr>
              <w:widowControl/>
              <w:jc w:val="center"/>
              <w:textAlignment w:val="center"/>
              <w:rPr>
                <w:rFonts w:ascii="宋体" w:hAnsi="宋体" w:eastAsia="宋体" w:cs="宋体"/>
                <w:sz w:val="22"/>
                <w:szCs w:val="22"/>
              </w:rPr>
            </w:pPr>
            <w:r>
              <w:rPr>
                <w:rFonts w:hint="eastAsia" w:ascii="宋体" w:hAnsi="宋体" w:eastAsia="宋体" w:cs="宋体"/>
                <w:kern w:val="0"/>
                <w:sz w:val="22"/>
                <w:szCs w:val="22"/>
                <w:lang w:bidi="ar"/>
              </w:rPr>
              <w:t>序号</w:t>
            </w:r>
          </w:p>
        </w:tc>
        <w:tc>
          <w:tcPr>
            <w:tcW w:w="1004" w:type="pct"/>
            <w:tcBorders>
              <w:top w:val="single" w:color="000000" w:sz="4" w:space="0"/>
              <w:left w:val="single" w:color="000000" w:sz="4" w:space="0"/>
              <w:bottom w:val="single" w:color="000000" w:sz="4" w:space="0"/>
              <w:right w:val="single" w:color="000000" w:sz="4" w:space="0"/>
            </w:tcBorders>
            <w:noWrap/>
            <w:vAlign w:val="center"/>
          </w:tcPr>
          <w:p w14:paraId="3C761B55">
            <w:pPr>
              <w:widowControl/>
              <w:jc w:val="center"/>
              <w:textAlignment w:val="center"/>
              <w:rPr>
                <w:rFonts w:ascii="宋体" w:hAnsi="宋体" w:eastAsia="宋体" w:cs="宋体"/>
                <w:sz w:val="22"/>
                <w:szCs w:val="22"/>
              </w:rPr>
            </w:pPr>
            <w:r>
              <w:rPr>
                <w:rFonts w:hint="eastAsia" w:ascii="宋体" w:hAnsi="宋体" w:eastAsia="宋体" w:cs="宋体"/>
                <w:kern w:val="0"/>
                <w:sz w:val="22"/>
                <w:szCs w:val="22"/>
                <w:lang w:bidi="ar"/>
              </w:rPr>
              <w:t>项目</w:t>
            </w:r>
          </w:p>
        </w:tc>
        <w:tc>
          <w:tcPr>
            <w:tcW w:w="2966" w:type="pct"/>
            <w:tcBorders>
              <w:top w:val="single" w:color="000000" w:sz="4" w:space="0"/>
              <w:left w:val="single" w:color="000000" w:sz="4" w:space="0"/>
              <w:bottom w:val="single" w:color="000000" w:sz="4" w:space="0"/>
              <w:right w:val="single" w:color="000000" w:sz="4" w:space="0"/>
            </w:tcBorders>
            <w:noWrap/>
            <w:vAlign w:val="center"/>
          </w:tcPr>
          <w:p w14:paraId="3C761B56">
            <w:pPr>
              <w:widowControl/>
              <w:jc w:val="center"/>
              <w:textAlignment w:val="center"/>
              <w:rPr>
                <w:rFonts w:ascii="宋体" w:hAnsi="宋体" w:eastAsia="宋体" w:cs="宋体"/>
                <w:sz w:val="22"/>
                <w:szCs w:val="22"/>
              </w:rPr>
            </w:pPr>
            <w:r>
              <w:rPr>
                <w:rFonts w:hint="eastAsia" w:ascii="宋体" w:hAnsi="宋体" w:eastAsia="宋体" w:cs="宋体"/>
                <w:kern w:val="0"/>
                <w:sz w:val="22"/>
                <w:szCs w:val="22"/>
                <w:lang w:bidi="ar"/>
              </w:rPr>
              <w:t>工作内容</w:t>
            </w:r>
          </w:p>
        </w:tc>
        <w:tc>
          <w:tcPr>
            <w:tcW w:w="498" w:type="pct"/>
            <w:tcBorders>
              <w:top w:val="single" w:color="000000" w:sz="4" w:space="0"/>
              <w:left w:val="single" w:color="000000" w:sz="4" w:space="0"/>
              <w:bottom w:val="single" w:color="000000" w:sz="4" w:space="0"/>
              <w:right w:val="single" w:color="000000" w:sz="4" w:space="0"/>
            </w:tcBorders>
            <w:noWrap/>
            <w:vAlign w:val="center"/>
          </w:tcPr>
          <w:p w14:paraId="3C761B57">
            <w:pPr>
              <w:widowControl/>
              <w:jc w:val="center"/>
              <w:textAlignment w:val="center"/>
              <w:rPr>
                <w:rFonts w:ascii="宋体" w:hAnsi="宋体" w:eastAsia="宋体" w:cs="宋体"/>
                <w:sz w:val="22"/>
                <w:szCs w:val="22"/>
              </w:rPr>
            </w:pPr>
            <w:r>
              <w:rPr>
                <w:rFonts w:hint="eastAsia" w:ascii="宋体" w:hAnsi="宋体" w:eastAsia="宋体" w:cs="宋体"/>
                <w:kern w:val="0"/>
                <w:sz w:val="22"/>
                <w:szCs w:val="22"/>
                <w:lang w:bidi="ar"/>
              </w:rPr>
              <w:t>人天</w:t>
            </w:r>
          </w:p>
        </w:tc>
      </w:tr>
      <w:tr w14:paraId="3C761B62">
        <w:trPr>
          <w:trHeight w:val="3920" w:hRule="atLeast"/>
        </w:trPr>
        <w:tc>
          <w:tcPr>
            <w:tcW w:w="531" w:type="pct"/>
            <w:tcBorders>
              <w:top w:val="single" w:color="000000" w:sz="4" w:space="0"/>
              <w:left w:val="single" w:color="000000" w:sz="4" w:space="0"/>
              <w:bottom w:val="single" w:color="000000" w:sz="4" w:space="0"/>
              <w:right w:val="single" w:color="000000" w:sz="4" w:space="0"/>
            </w:tcBorders>
            <w:noWrap/>
            <w:vAlign w:val="center"/>
          </w:tcPr>
          <w:p w14:paraId="3C761B59">
            <w:pPr>
              <w:widowControl/>
              <w:jc w:val="center"/>
              <w:textAlignment w:val="center"/>
              <w:rPr>
                <w:rFonts w:ascii="宋体" w:hAnsi="宋体" w:eastAsia="宋体" w:cs="宋体"/>
                <w:sz w:val="22"/>
                <w:szCs w:val="22"/>
              </w:rPr>
            </w:pPr>
            <w:r>
              <w:rPr>
                <w:rFonts w:hint="eastAsia" w:ascii="宋体" w:hAnsi="宋体" w:eastAsia="宋体" w:cs="宋体"/>
                <w:kern w:val="0"/>
                <w:sz w:val="22"/>
                <w:szCs w:val="22"/>
                <w:lang w:bidi="ar"/>
              </w:rPr>
              <w:t>1</w:t>
            </w:r>
          </w:p>
        </w:tc>
        <w:tc>
          <w:tcPr>
            <w:tcW w:w="1004" w:type="pct"/>
            <w:tcBorders>
              <w:top w:val="single" w:color="000000" w:sz="4" w:space="0"/>
              <w:left w:val="single" w:color="000000" w:sz="4" w:space="0"/>
              <w:bottom w:val="single" w:color="000000" w:sz="4" w:space="0"/>
              <w:right w:val="single" w:color="000000" w:sz="4" w:space="0"/>
            </w:tcBorders>
            <w:vAlign w:val="center"/>
          </w:tcPr>
          <w:p w14:paraId="3C761B5A">
            <w:pPr>
              <w:widowControl/>
              <w:jc w:val="center"/>
              <w:textAlignment w:val="center"/>
              <w:rPr>
                <w:rFonts w:hint="eastAsia" w:ascii="宋体" w:hAnsi="宋体" w:eastAsia="宋体" w:cs="宋体"/>
                <w:color w:val="FF0000"/>
                <w:sz w:val="22"/>
                <w:szCs w:val="22"/>
                <w:lang w:val="en-US" w:eastAsia="zh-CN"/>
              </w:rPr>
            </w:pPr>
            <w:r>
              <w:rPr>
                <w:rFonts w:hint="eastAsia" w:ascii="宋体" w:hAnsi="宋体" w:eastAsia="宋体" w:cs="宋体"/>
                <w:color w:val="000000" w:themeColor="text1"/>
                <w:kern w:val="0"/>
                <w:sz w:val="22"/>
                <w:szCs w:val="22"/>
                <w:lang w:bidi="ar"/>
                <w14:textFill>
                  <w14:solidFill>
                    <w14:schemeClr w14:val="tx1"/>
                  </w14:solidFill>
                </w14:textFill>
              </w:rPr>
              <w:t>网络巡检服务飞行支撑</w:t>
            </w:r>
            <w:r>
              <w:rPr>
                <w:rFonts w:hint="eastAsia" w:ascii="宋体" w:hAnsi="宋体" w:eastAsia="宋体" w:cs="宋体"/>
                <w:color w:val="000000" w:themeColor="text1"/>
                <w:kern w:val="0"/>
                <w:sz w:val="22"/>
                <w:szCs w:val="22"/>
                <w:lang w:val="en-US" w:eastAsia="zh-CN" w:bidi="ar"/>
                <w14:textFill>
                  <w14:solidFill>
                    <w14:schemeClr w14:val="tx1"/>
                  </w14:solidFill>
                </w14:textFill>
              </w:rPr>
              <w:t>服务</w:t>
            </w:r>
          </w:p>
        </w:tc>
        <w:tc>
          <w:tcPr>
            <w:tcW w:w="2966" w:type="pct"/>
            <w:tcBorders>
              <w:top w:val="single" w:color="000000" w:sz="4" w:space="0"/>
              <w:left w:val="single" w:color="000000" w:sz="4" w:space="0"/>
              <w:bottom w:val="single" w:color="000000" w:sz="4" w:space="0"/>
              <w:right w:val="single" w:color="000000" w:sz="4" w:space="0"/>
            </w:tcBorders>
            <w:vAlign w:val="center"/>
          </w:tcPr>
          <w:p w14:paraId="3C761B5B">
            <w:pPr>
              <w:widowControl/>
              <w:jc w:val="left"/>
              <w:textAlignment w:val="center"/>
              <w:rPr>
                <w:rFonts w:ascii="宋体" w:hAnsi="宋体" w:eastAsia="宋体" w:cs="宋体"/>
                <w:kern w:val="0"/>
                <w:sz w:val="21"/>
                <w:szCs w:val="21"/>
                <w:lang w:bidi="ar"/>
              </w:rPr>
            </w:pPr>
            <w:r>
              <w:rPr>
                <w:rFonts w:hint="eastAsia" w:ascii="宋体" w:hAnsi="宋体" w:eastAsia="宋体" w:cs="宋体"/>
                <w:kern w:val="0"/>
                <w:sz w:val="21"/>
                <w:szCs w:val="21"/>
                <w:lang w:val="en-US" w:eastAsia="zh-CN" w:bidi="ar"/>
              </w:rPr>
              <w:t>完成2万个站点网络巡检无人机飞行服务工作</w:t>
            </w:r>
            <w:r>
              <w:rPr>
                <w:rFonts w:hint="eastAsia" w:ascii="宋体" w:hAnsi="宋体" w:eastAsia="宋体" w:cs="宋体"/>
                <w:kern w:val="0"/>
                <w:sz w:val="21"/>
                <w:szCs w:val="21"/>
                <w:lang w:bidi="ar"/>
              </w:rPr>
              <w:t>，内容如下：</w:t>
            </w:r>
          </w:p>
          <w:p w14:paraId="3C761B5C">
            <w:pPr>
              <w:widowControl/>
              <w:jc w:val="left"/>
              <w:textAlignment w:val="center"/>
              <w:rPr>
                <w:rFonts w:ascii="宋体" w:hAnsi="宋体" w:eastAsia="宋体" w:cs="宋体"/>
                <w:kern w:val="0"/>
                <w:sz w:val="21"/>
                <w:szCs w:val="21"/>
                <w:lang w:bidi="ar"/>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1）</w:t>
            </w:r>
            <w:r>
              <w:rPr>
                <w:rFonts w:hint="eastAsia" w:ascii="宋体" w:hAnsi="宋体" w:eastAsia="宋体" w:cs="宋体"/>
                <w:kern w:val="0"/>
                <w:sz w:val="21"/>
                <w:szCs w:val="21"/>
                <w:lang w:bidi="ar"/>
              </w:rPr>
              <w:t>基站工参数据采集：包括对基站经纬度、方位角、定点定高数据的采集；</w:t>
            </w:r>
          </w:p>
          <w:p w14:paraId="3C761B5D">
            <w:pPr>
              <w:widowControl/>
              <w:jc w:val="left"/>
              <w:textAlignment w:val="center"/>
              <w:rPr>
                <w:rFonts w:ascii="宋体" w:hAnsi="宋体" w:eastAsia="宋体" w:cs="宋体"/>
                <w:kern w:val="0"/>
                <w:sz w:val="21"/>
                <w:szCs w:val="21"/>
                <w:lang w:bidi="ar"/>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2）</w:t>
            </w:r>
            <w:r>
              <w:rPr>
                <w:rFonts w:hint="eastAsia" w:ascii="宋体" w:hAnsi="宋体" w:eastAsia="宋体" w:cs="宋体"/>
                <w:kern w:val="0"/>
                <w:sz w:val="21"/>
                <w:szCs w:val="21"/>
                <w:lang w:bidi="ar"/>
              </w:rPr>
              <w:t>铁塔图像采集：包括对铁塔图像、天面图像的采集；</w:t>
            </w:r>
          </w:p>
          <w:p w14:paraId="3C761B5E">
            <w:pPr>
              <w:widowControl/>
              <w:jc w:val="left"/>
              <w:textAlignment w:val="center"/>
              <w:rPr>
                <w:rFonts w:ascii="宋体" w:hAnsi="宋体" w:eastAsia="宋体" w:cs="宋体"/>
                <w:kern w:val="0"/>
                <w:sz w:val="21"/>
                <w:szCs w:val="21"/>
                <w:lang w:bidi="ar"/>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3）</w:t>
            </w:r>
            <w:r>
              <w:rPr>
                <w:rFonts w:hint="eastAsia" w:ascii="宋体" w:hAnsi="宋体" w:eastAsia="宋体" w:cs="宋体"/>
                <w:kern w:val="0"/>
                <w:sz w:val="21"/>
                <w:szCs w:val="21"/>
                <w:lang w:bidi="ar"/>
              </w:rPr>
              <w:t>基站覆盖地理环境数据采集，对周边环境360°进行拍摄；</w:t>
            </w:r>
          </w:p>
          <w:p w14:paraId="3C761B5F">
            <w:pPr>
              <w:widowControl/>
              <w:jc w:val="left"/>
              <w:textAlignment w:val="center"/>
              <w:rPr>
                <w:rFonts w:ascii="宋体" w:hAnsi="宋体" w:eastAsia="宋体" w:cs="宋体"/>
                <w:kern w:val="0"/>
                <w:sz w:val="21"/>
                <w:szCs w:val="21"/>
                <w:lang w:bidi="ar"/>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4）</w:t>
            </w:r>
            <w:r>
              <w:rPr>
                <w:rFonts w:hint="eastAsia" w:ascii="宋体" w:hAnsi="宋体" w:eastAsia="宋体" w:cs="宋体"/>
                <w:kern w:val="0"/>
                <w:sz w:val="21"/>
                <w:szCs w:val="21"/>
                <w:lang w:bidi="ar"/>
              </w:rPr>
              <w:t>扫频数据采集：包括对天面进行不同方向的扫频采集，通过界面确认频率数据是否已识别；</w:t>
            </w:r>
          </w:p>
          <w:p w14:paraId="3C761B60">
            <w:pPr>
              <w:widowControl/>
              <w:jc w:val="left"/>
              <w:textAlignment w:val="center"/>
              <w:rPr>
                <w:rFonts w:ascii="宋体" w:hAnsi="宋体" w:eastAsia="宋体" w:cs="宋体"/>
                <w:kern w:val="0"/>
                <w:sz w:val="21"/>
                <w:szCs w:val="21"/>
                <w:lang w:bidi="ar"/>
              </w:rPr>
            </w:pPr>
            <w:r>
              <w:rPr>
                <w:rFonts w:hint="eastAsia"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5）</w:t>
            </w:r>
            <w:r>
              <w:rPr>
                <w:rFonts w:hint="eastAsia" w:ascii="宋体" w:hAnsi="宋体" w:eastAsia="宋体" w:cs="宋体"/>
                <w:kern w:val="0"/>
                <w:sz w:val="21"/>
                <w:szCs w:val="21"/>
                <w:lang w:bidi="ar"/>
              </w:rPr>
              <w:t>数据核查工作，包括对数据传输结果进行确认，对数据规范性和正确性进行核查。</w:t>
            </w:r>
          </w:p>
        </w:tc>
        <w:tc>
          <w:tcPr>
            <w:tcW w:w="498" w:type="pct"/>
            <w:tcBorders>
              <w:top w:val="single" w:color="000000" w:sz="4" w:space="0"/>
              <w:left w:val="single" w:color="000000" w:sz="4" w:space="0"/>
              <w:bottom w:val="single" w:color="000000" w:sz="4" w:space="0"/>
              <w:right w:val="single" w:color="000000" w:sz="4" w:space="0"/>
            </w:tcBorders>
            <w:noWrap/>
            <w:vAlign w:val="center"/>
          </w:tcPr>
          <w:p w14:paraId="3C761B61">
            <w:pPr>
              <w:widowControl/>
              <w:jc w:val="center"/>
              <w:textAlignment w:val="center"/>
              <w:rPr>
                <w:rFonts w:ascii="宋体" w:hAnsi="宋体" w:eastAsia="宋体" w:cs="宋体"/>
                <w:sz w:val="22"/>
                <w:szCs w:val="22"/>
              </w:rPr>
            </w:pPr>
            <w:r>
              <w:rPr>
                <w:rFonts w:ascii="宋体" w:hAnsi="宋体" w:eastAsia="宋体" w:cs="宋体"/>
                <w:kern w:val="0"/>
                <w:sz w:val="22"/>
                <w:szCs w:val="22"/>
                <w:lang w:bidi="ar"/>
              </w:rPr>
              <w:t>2000</w:t>
            </w:r>
          </w:p>
        </w:tc>
      </w:tr>
      <w:tr w14:paraId="3C761B67">
        <w:trPr>
          <w:trHeight w:val="447" w:hRule="atLeast"/>
        </w:trPr>
        <w:tc>
          <w:tcPr>
            <w:tcW w:w="531" w:type="pct"/>
            <w:vMerge w:val="restart"/>
            <w:tcBorders>
              <w:top w:val="single" w:color="000000" w:sz="4" w:space="0"/>
              <w:left w:val="single" w:color="000000" w:sz="4" w:space="0"/>
              <w:right w:val="single" w:color="000000" w:sz="4" w:space="0"/>
            </w:tcBorders>
            <w:noWrap/>
            <w:vAlign w:val="center"/>
          </w:tcPr>
          <w:p w14:paraId="3C761B63">
            <w:pPr>
              <w:widowControl/>
              <w:jc w:val="center"/>
              <w:textAlignment w:val="center"/>
              <w:rPr>
                <w:rFonts w:ascii="宋体" w:hAnsi="宋体" w:eastAsia="宋体" w:cs="宋体"/>
                <w:sz w:val="22"/>
                <w:szCs w:val="22"/>
              </w:rPr>
            </w:pPr>
            <w:r>
              <w:rPr>
                <w:rFonts w:hint="eastAsia" w:ascii="宋体" w:hAnsi="宋体" w:eastAsia="宋体" w:cs="宋体"/>
                <w:kern w:val="0"/>
                <w:sz w:val="22"/>
                <w:szCs w:val="22"/>
                <w:lang w:bidi="ar"/>
              </w:rPr>
              <w:t>2</w:t>
            </w:r>
          </w:p>
        </w:tc>
        <w:tc>
          <w:tcPr>
            <w:tcW w:w="1004" w:type="pct"/>
            <w:vMerge w:val="restart"/>
            <w:tcBorders>
              <w:top w:val="single" w:color="000000" w:sz="4" w:space="0"/>
              <w:left w:val="single" w:color="000000" w:sz="4" w:space="0"/>
              <w:right w:val="single" w:color="000000" w:sz="4" w:space="0"/>
            </w:tcBorders>
            <w:vAlign w:val="center"/>
          </w:tcPr>
          <w:p w14:paraId="3C761B64">
            <w:pPr>
              <w:widowControl/>
              <w:jc w:val="center"/>
              <w:textAlignment w:val="center"/>
              <w:rPr>
                <w:rFonts w:hint="eastAsia" w:ascii="宋体" w:hAnsi="宋体" w:eastAsia="宋体" w:cs="宋体"/>
                <w:color w:val="FF0000"/>
                <w:sz w:val="22"/>
                <w:szCs w:val="22"/>
                <w:lang w:val="en-US" w:eastAsia="zh-CN"/>
              </w:rPr>
            </w:pPr>
            <w:r>
              <w:rPr>
                <w:rFonts w:hint="eastAsia" w:ascii="宋体" w:hAnsi="宋体" w:eastAsia="宋体" w:cs="宋体"/>
                <w:color w:val="000000" w:themeColor="text1"/>
                <w:sz w:val="22"/>
                <w:szCs w:val="22"/>
                <w:lang w:val="en-US" w:eastAsia="zh-CN"/>
                <w14:textFill>
                  <w14:solidFill>
                    <w14:schemeClr w14:val="tx1"/>
                  </w14:solidFill>
                </w14:textFill>
              </w:rPr>
              <w:t>AI算法和低空监管需求飞行支撑服务</w:t>
            </w:r>
          </w:p>
        </w:tc>
        <w:tc>
          <w:tcPr>
            <w:tcW w:w="2966" w:type="pct"/>
            <w:tcBorders>
              <w:top w:val="single" w:color="000000" w:sz="4" w:space="0"/>
              <w:left w:val="single" w:color="000000" w:sz="4" w:space="0"/>
              <w:bottom w:val="single" w:color="000000" w:sz="4" w:space="0"/>
              <w:right w:val="single" w:color="000000" w:sz="4" w:space="0"/>
            </w:tcBorders>
            <w:vAlign w:val="center"/>
          </w:tcPr>
          <w:p w14:paraId="3C761B65">
            <w:pPr>
              <w:widowControl/>
              <w:jc w:val="left"/>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海事局海洋巡检：航道 / 锚地 / 港区巡检、船型/航标 / 助航设施核查、运动目标跟踪巡检/防污染监管</w:t>
            </w:r>
          </w:p>
        </w:tc>
        <w:tc>
          <w:tcPr>
            <w:tcW w:w="498" w:type="pct"/>
            <w:tcBorders>
              <w:top w:val="single" w:color="000000" w:sz="4" w:space="0"/>
              <w:left w:val="single" w:color="000000" w:sz="4" w:space="0"/>
              <w:bottom w:val="single" w:color="000000" w:sz="4" w:space="0"/>
              <w:right w:val="single" w:color="000000" w:sz="4" w:space="0"/>
            </w:tcBorders>
            <w:noWrap/>
            <w:vAlign w:val="center"/>
          </w:tcPr>
          <w:p w14:paraId="3C761B66">
            <w:pPr>
              <w:widowControl/>
              <w:jc w:val="center"/>
              <w:textAlignment w:val="center"/>
              <w:rPr>
                <w:rFonts w:ascii="宋体" w:hAnsi="宋体" w:eastAsia="宋体" w:cs="宋体"/>
                <w:sz w:val="22"/>
                <w:szCs w:val="22"/>
              </w:rPr>
            </w:pPr>
            <w:r>
              <w:rPr>
                <w:rFonts w:hint="eastAsia" w:ascii="宋体" w:hAnsi="宋体" w:eastAsia="宋体" w:cs="宋体"/>
                <w:kern w:val="0"/>
                <w:sz w:val="22"/>
                <w:szCs w:val="22"/>
                <w:lang w:val="en-US" w:eastAsia="zh-CN" w:bidi="ar"/>
              </w:rPr>
              <w:t>14</w:t>
            </w:r>
            <w:r>
              <w:rPr>
                <w:rFonts w:ascii="宋体" w:hAnsi="宋体" w:eastAsia="宋体" w:cs="宋体"/>
                <w:kern w:val="0"/>
                <w:sz w:val="22"/>
                <w:szCs w:val="22"/>
                <w:lang w:bidi="ar"/>
              </w:rPr>
              <w:t>2</w:t>
            </w:r>
          </w:p>
        </w:tc>
      </w:tr>
      <w:tr w14:paraId="28867FD8">
        <w:trPr>
          <w:trHeight w:val="447" w:hRule="atLeast"/>
        </w:trPr>
        <w:tc>
          <w:tcPr>
            <w:tcW w:w="531" w:type="pct"/>
            <w:vMerge w:val="continue"/>
            <w:tcBorders>
              <w:left w:val="single" w:color="000000" w:sz="4" w:space="0"/>
              <w:right w:val="single" w:color="000000" w:sz="4" w:space="0"/>
            </w:tcBorders>
            <w:noWrap/>
            <w:vAlign w:val="center"/>
          </w:tcPr>
          <w:p w14:paraId="32448E87">
            <w:pPr>
              <w:widowControl/>
              <w:jc w:val="center"/>
              <w:textAlignment w:val="center"/>
              <w:rPr>
                <w:rFonts w:hint="eastAsia" w:ascii="宋体" w:hAnsi="宋体" w:eastAsia="宋体" w:cs="宋体"/>
                <w:kern w:val="0"/>
                <w:sz w:val="22"/>
                <w:szCs w:val="22"/>
                <w:lang w:bidi="ar"/>
              </w:rPr>
            </w:pPr>
          </w:p>
        </w:tc>
        <w:tc>
          <w:tcPr>
            <w:tcW w:w="1004" w:type="pct"/>
            <w:vMerge w:val="continue"/>
            <w:tcBorders>
              <w:left w:val="single" w:color="000000" w:sz="4" w:space="0"/>
              <w:right w:val="single" w:color="000000" w:sz="4" w:space="0"/>
            </w:tcBorders>
            <w:vAlign w:val="center"/>
          </w:tcPr>
          <w:p w14:paraId="1D5613D8">
            <w:pPr>
              <w:widowControl/>
              <w:jc w:val="center"/>
              <w:textAlignment w:val="center"/>
              <w:rPr>
                <w:rFonts w:hint="eastAsia" w:ascii="宋体" w:hAnsi="宋体" w:eastAsia="宋体" w:cs="宋体"/>
                <w:color w:val="000000" w:themeColor="text1"/>
                <w:sz w:val="22"/>
                <w:szCs w:val="22"/>
                <w:lang w:val="en-US" w:eastAsia="zh-CN"/>
                <w14:textFill>
                  <w14:solidFill>
                    <w14:schemeClr w14:val="tx1"/>
                  </w14:solidFill>
                </w14:textFill>
              </w:rPr>
            </w:pPr>
          </w:p>
        </w:tc>
        <w:tc>
          <w:tcPr>
            <w:tcW w:w="2966" w:type="pct"/>
            <w:tcBorders>
              <w:top w:val="single" w:color="000000" w:sz="4" w:space="0"/>
              <w:left w:val="single" w:color="000000" w:sz="4" w:space="0"/>
              <w:bottom w:val="single" w:color="000000" w:sz="4" w:space="0"/>
              <w:right w:val="single" w:color="000000" w:sz="4" w:space="0"/>
            </w:tcBorders>
            <w:vAlign w:val="center"/>
          </w:tcPr>
          <w:p w14:paraId="403668F1">
            <w:pPr>
              <w:widowControl/>
              <w:jc w:val="left"/>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AI算法仓：农林生态、农林监测、城乡治理、基础设施运维、交通管理、安防应急六大场景</w:t>
            </w:r>
          </w:p>
        </w:tc>
        <w:tc>
          <w:tcPr>
            <w:tcW w:w="498" w:type="pct"/>
            <w:tcBorders>
              <w:top w:val="single" w:color="000000" w:sz="4" w:space="0"/>
              <w:left w:val="single" w:color="000000" w:sz="4" w:space="0"/>
              <w:bottom w:val="single" w:color="000000" w:sz="4" w:space="0"/>
              <w:right w:val="single" w:color="000000" w:sz="4" w:space="0"/>
            </w:tcBorders>
            <w:noWrap/>
            <w:vAlign w:val="center"/>
          </w:tcPr>
          <w:p w14:paraId="1E515C59">
            <w:pPr>
              <w:widowControl/>
              <w:jc w:val="center"/>
              <w:textAlignment w:val="center"/>
              <w:rPr>
                <w:rFonts w:hint="default"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300</w:t>
            </w:r>
          </w:p>
        </w:tc>
      </w:tr>
      <w:tr w14:paraId="08E00668">
        <w:trPr>
          <w:trHeight w:val="447" w:hRule="atLeast"/>
        </w:trPr>
        <w:tc>
          <w:tcPr>
            <w:tcW w:w="531" w:type="pct"/>
            <w:vMerge w:val="continue"/>
            <w:tcBorders>
              <w:left w:val="single" w:color="000000" w:sz="4" w:space="0"/>
              <w:bottom w:val="single" w:color="000000" w:sz="4" w:space="0"/>
              <w:right w:val="single" w:color="000000" w:sz="4" w:space="0"/>
            </w:tcBorders>
            <w:noWrap/>
            <w:vAlign w:val="center"/>
          </w:tcPr>
          <w:p w14:paraId="13603E04">
            <w:pPr>
              <w:widowControl/>
              <w:jc w:val="center"/>
              <w:textAlignment w:val="center"/>
              <w:rPr>
                <w:rFonts w:hint="eastAsia" w:ascii="宋体" w:hAnsi="宋体" w:eastAsia="宋体" w:cs="宋体"/>
                <w:kern w:val="0"/>
                <w:sz w:val="22"/>
                <w:szCs w:val="22"/>
                <w:lang w:bidi="ar"/>
              </w:rPr>
            </w:pPr>
          </w:p>
        </w:tc>
        <w:tc>
          <w:tcPr>
            <w:tcW w:w="1004" w:type="pct"/>
            <w:vMerge w:val="continue"/>
            <w:tcBorders>
              <w:left w:val="single" w:color="000000" w:sz="4" w:space="0"/>
              <w:bottom w:val="single" w:color="000000" w:sz="4" w:space="0"/>
              <w:right w:val="single" w:color="000000" w:sz="4" w:space="0"/>
            </w:tcBorders>
            <w:vAlign w:val="center"/>
          </w:tcPr>
          <w:p w14:paraId="0E2463FD">
            <w:pPr>
              <w:widowControl/>
              <w:jc w:val="center"/>
              <w:textAlignment w:val="center"/>
              <w:rPr>
                <w:rFonts w:hint="eastAsia" w:ascii="宋体" w:hAnsi="宋体" w:eastAsia="宋体" w:cs="宋体"/>
                <w:color w:val="000000" w:themeColor="text1"/>
                <w:sz w:val="22"/>
                <w:szCs w:val="22"/>
                <w:lang w:val="en-US" w:eastAsia="zh-CN"/>
                <w14:textFill>
                  <w14:solidFill>
                    <w14:schemeClr w14:val="tx1"/>
                  </w14:solidFill>
                </w14:textFill>
              </w:rPr>
            </w:pPr>
          </w:p>
        </w:tc>
        <w:tc>
          <w:tcPr>
            <w:tcW w:w="2966" w:type="pct"/>
            <w:tcBorders>
              <w:top w:val="single" w:color="000000" w:sz="4" w:space="0"/>
              <w:left w:val="single" w:color="000000" w:sz="4" w:space="0"/>
              <w:bottom w:val="single" w:color="000000" w:sz="4" w:space="0"/>
              <w:right w:val="single" w:color="000000" w:sz="4" w:space="0"/>
            </w:tcBorders>
            <w:vAlign w:val="center"/>
          </w:tcPr>
          <w:p w14:paraId="3E93B244">
            <w:pPr>
              <w:widowControl/>
              <w:jc w:val="left"/>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低空监管平台：南基低空监管测试需求、广州公安低空监管、佛山公安低空监管</w:t>
            </w:r>
            <w:bookmarkStart w:id="6" w:name="_GoBack"/>
            <w:bookmarkEnd w:id="6"/>
            <w:r>
              <w:rPr>
                <w:rFonts w:hint="eastAsia" w:ascii="宋体" w:hAnsi="宋体" w:eastAsia="宋体" w:cs="宋体"/>
                <w:kern w:val="0"/>
                <w:sz w:val="21"/>
                <w:szCs w:val="21"/>
                <w:lang w:bidi="ar"/>
              </w:rPr>
              <w:t>、云浮公安低空监管</w:t>
            </w:r>
          </w:p>
        </w:tc>
        <w:tc>
          <w:tcPr>
            <w:tcW w:w="498" w:type="pct"/>
            <w:tcBorders>
              <w:top w:val="single" w:color="000000" w:sz="4" w:space="0"/>
              <w:left w:val="single" w:color="000000" w:sz="4" w:space="0"/>
              <w:bottom w:val="single" w:color="000000" w:sz="4" w:space="0"/>
              <w:right w:val="single" w:color="000000" w:sz="4" w:space="0"/>
            </w:tcBorders>
            <w:noWrap/>
            <w:vAlign w:val="center"/>
          </w:tcPr>
          <w:p w14:paraId="69D15CEB">
            <w:pPr>
              <w:widowControl/>
              <w:jc w:val="center"/>
              <w:textAlignment w:val="center"/>
              <w:rPr>
                <w:rFonts w:hint="default"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210</w:t>
            </w:r>
          </w:p>
        </w:tc>
      </w:tr>
    </w:tbl>
    <w:p w14:paraId="3C761B68">
      <w:pPr>
        <w:widowControl/>
        <w:tabs>
          <w:tab w:val="left" w:pos="1528"/>
        </w:tabs>
        <w:jc w:val="left"/>
        <w:rPr>
          <w:rFonts w:ascii="宋体" w:hAnsi="宋体" w:eastAsia="宋体" w:cs="宋体"/>
          <w:b/>
          <w:snapToGrid w:val="0"/>
          <w:color w:val="auto"/>
          <w:kern w:val="0"/>
          <w:sz w:val="24"/>
          <w:highlight w:val="none"/>
        </w:rPr>
      </w:pPr>
      <w:r>
        <w:rPr>
          <w:rFonts w:hint="eastAsia" w:ascii="宋体" w:hAnsi="宋体" w:eastAsia="宋体" w:cs="宋体"/>
          <w:b/>
          <w:snapToGrid w:val="0"/>
          <w:color w:val="auto"/>
          <w:kern w:val="0"/>
          <w:sz w:val="21"/>
          <w:szCs w:val="21"/>
          <w:highlight w:val="none"/>
          <w:lang w:val="en-US" w:eastAsia="zh-CN"/>
        </w:rPr>
        <w:t>备注：省内外地市出差工作，涉及出差产生的交通、住宿、餐饮等差旅费用由应答方自行承担。</w:t>
      </w:r>
      <w:r>
        <w:rPr>
          <w:rFonts w:hint="eastAsia" w:ascii="宋体" w:hAnsi="宋体" w:eastAsia="宋体" w:cs="宋体"/>
          <w:b/>
          <w:snapToGrid w:val="0"/>
          <w:color w:val="auto"/>
          <w:kern w:val="0"/>
          <w:sz w:val="24"/>
          <w:highlight w:val="none"/>
          <w:lang w:val="en-US" w:eastAsia="zh-CN"/>
        </w:rPr>
        <w:tab/>
      </w:r>
    </w:p>
    <w:p w14:paraId="3C761B69">
      <w:pPr>
        <w:widowControl/>
        <w:jc w:val="left"/>
        <w:rPr>
          <w:rFonts w:ascii="宋体" w:hAnsi="宋体" w:eastAsia="宋体" w:cs="宋体"/>
          <w:b/>
          <w:snapToGrid w:val="0"/>
          <w:kern w:val="0"/>
          <w:sz w:val="24"/>
        </w:rPr>
      </w:pPr>
    </w:p>
    <w:p w14:paraId="3C761B6A">
      <w:pPr>
        <w:pStyle w:val="5"/>
        <w:tabs>
          <w:tab w:val="left" w:pos="0"/>
          <w:tab w:val="left" w:pos="993"/>
          <w:tab w:val="left" w:pos="1134"/>
        </w:tabs>
        <w:spacing w:line="360" w:lineRule="auto"/>
        <w:rPr>
          <w:rFonts w:ascii="宋体" w:hAnsi="宋体" w:cs="宋体"/>
          <w:b/>
          <w:bCs/>
          <w:sz w:val="24"/>
          <w:szCs w:val="24"/>
        </w:rPr>
      </w:pPr>
      <w:r>
        <w:rPr>
          <w:rFonts w:hint="eastAsia" w:ascii="宋体" w:hAnsi="宋体" w:cs="宋体"/>
          <w:b/>
          <w:bCs/>
          <w:sz w:val="24"/>
          <w:szCs w:val="24"/>
        </w:rPr>
        <w:t>2.2网络巡检服务飞行支撑服务内容要求：</w:t>
      </w:r>
    </w:p>
    <w:p w14:paraId="3C761B6B">
      <w:pPr>
        <w:widowControl/>
        <w:jc w:val="left"/>
        <w:rPr>
          <w:rFonts w:ascii="宋体" w:hAnsi="宋体" w:eastAsia="宋体" w:cs="宋体"/>
          <w:b/>
          <w:snapToGrid w:val="0"/>
          <w:kern w:val="0"/>
          <w:sz w:val="24"/>
        </w:rPr>
      </w:pPr>
      <w:r>
        <w:rPr>
          <w:rFonts w:hint="eastAsia" w:ascii="宋体" w:hAnsi="宋体" w:eastAsia="宋体" w:cs="宋体"/>
          <w:b/>
          <w:snapToGrid w:val="0"/>
          <w:kern w:val="0"/>
          <w:sz w:val="24"/>
        </w:rPr>
        <w:t xml:space="preserve"> 2.2.1基站工参数据采集</w:t>
      </w:r>
    </w:p>
    <w:p w14:paraId="3C761B6C">
      <w:pPr>
        <w:pStyle w:val="16"/>
        <w:numPr>
          <w:ilvl w:val="0"/>
          <w:numId w:val="3"/>
        </w:numPr>
        <w:spacing w:line="360" w:lineRule="auto"/>
        <w:ind w:firstLineChars="0"/>
        <w:jc w:val="left"/>
        <w:rPr>
          <w:rFonts w:eastAsia="宋体"/>
        </w:rPr>
      </w:pPr>
      <w:r>
        <w:rPr>
          <w:rFonts w:hint="eastAsia" w:eastAsia="宋体"/>
          <w:b/>
          <w:bCs/>
        </w:rPr>
        <w:t>基站位置采集：</w:t>
      </w:r>
      <w:r>
        <w:rPr>
          <w:rFonts w:hint="eastAsia"/>
        </w:rPr>
        <w:t>操作无人</w:t>
      </w:r>
      <w:r>
        <w:rPr>
          <w:rFonts w:hint="eastAsia" w:eastAsia="宋体"/>
        </w:rPr>
        <w:t>机飞行到铁塔/抱杆上方，采集基站经纬度数据。</w:t>
      </w:r>
    </w:p>
    <w:p w14:paraId="3C761B6D">
      <w:pPr>
        <w:pStyle w:val="16"/>
        <w:numPr>
          <w:ilvl w:val="0"/>
          <w:numId w:val="3"/>
        </w:numPr>
        <w:spacing w:line="360" w:lineRule="auto"/>
        <w:ind w:firstLineChars="0"/>
        <w:jc w:val="left"/>
        <w:rPr>
          <w:rFonts w:eastAsia="宋体"/>
        </w:rPr>
      </w:pPr>
      <w:r>
        <w:rPr>
          <w:rFonts w:hint="eastAsia" w:eastAsia="宋体"/>
          <w:b/>
          <w:bCs/>
        </w:rPr>
        <w:t>天线姿态采集：</w:t>
      </w:r>
      <w:r>
        <w:rPr>
          <w:rFonts w:hint="eastAsia"/>
        </w:rPr>
        <w:t>操作无人机</w:t>
      </w:r>
      <w:r>
        <w:rPr>
          <w:rFonts w:hint="eastAsia" w:eastAsia="宋体"/>
        </w:rPr>
        <w:t>拍摄天线正面、侧面图片数据，采集天线挂高数据。</w:t>
      </w:r>
    </w:p>
    <w:p w14:paraId="3C761B6E">
      <w:pPr>
        <w:widowControl/>
        <w:jc w:val="left"/>
        <w:rPr>
          <w:rFonts w:ascii="宋体" w:hAnsi="宋体" w:eastAsia="宋体" w:cs="宋体"/>
          <w:b/>
          <w:snapToGrid w:val="0"/>
          <w:kern w:val="0"/>
          <w:sz w:val="24"/>
        </w:rPr>
      </w:pPr>
      <w:r>
        <w:rPr>
          <w:rFonts w:hint="eastAsia" w:ascii="宋体" w:hAnsi="宋体" w:eastAsia="宋体" w:cs="宋体"/>
          <w:b/>
          <w:snapToGrid w:val="0"/>
          <w:kern w:val="0"/>
          <w:sz w:val="24"/>
        </w:rPr>
        <w:t>2.2.2基站铁塔图像摄影采集</w:t>
      </w:r>
    </w:p>
    <w:p w14:paraId="3C761B6F">
      <w:pPr>
        <w:pStyle w:val="16"/>
        <w:numPr>
          <w:ilvl w:val="0"/>
          <w:numId w:val="4"/>
        </w:numPr>
        <w:spacing w:line="360" w:lineRule="auto"/>
        <w:ind w:firstLineChars="0"/>
        <w:jc w:val="left"/>
        <w:rPr>
          <w:rFonts w:eastAsia="宋体"/>
          <w:b/>
          <w:bCs/>
        </w:rPr>
      </w:pPr>
      <w:r>
        <w:rPr>
          <w:rFonts w:hint="eastAsia" w:eastAsia="宋体"/>
          <w:b/>
          <w:bCs/>
        </w:rPr>
        <w:t>铁塔摄影：</w:t>
      </w:r>
      <w:r>
        <w:rPr>
          <w:rFonts w:hint="eastAsia"/>
        </w:rPr>
        <w:t>操作</w:t>
      </w:r>
      <w:r>
        <w:rPr>
          <w:rFonts w:hint="eastAsia" w:eastAsia="宋体"/>
        </w:rPr>
        <w:t>无人机绕飞铁塔，拍摄铁塔图像数据</w:t>
      </w:r>
    </w:p>
    <w:p w14:paraId="3C761B70">
      <w:pPr>
        <w:pStyle w:val="16"/>
        <w:numPr>
          <w:ilvl w:val="0"/>
          <w:numId w:val="4"/>
        </w:numPr>
        <w:spacing w:line="360" w:lineRule="auto"/>
        <w:ind w:firstLineChars="0"/>
        <w:jc w:val="left"/>
        <w:rPr>
          <w:rFonts w:eastAsia="宋体"/>
          <w:b/>
          <w:bCs/>
        </w:rPr>
      </w:pPr>
      <w:r>
        <w:rPr>
          <w:rFonts w:hint="eastAsia" w:eastAsia="宋体"/>
          <w:b/>
          <w:bCs/>
        </w:rPr>
        <w:t>天面摄影：</w:t>
      </w:r>
      <w:r>
        <w:rPr>
          <w:rFonts w:hint="eastAsia"/>
        </w:rPr>
        <w:t>操作</w:t>
      </w:r>
      <w:r>
        <w:rPr>
          <w:rFonts w:hint="eastAsia" w:eastAsia="宋体"/>
        </w:rPr>
        <w:t>无人机绕飞天面，拍摄天面图像数据</w:t>
      </w:r>
    </w:p>
    <w:p w14:paraId="3C761B71">
      <w:pPr>
        <w:widowControl/>
        <w:jc w:val="left"/>
        <w:rPr>
          <w:rFonts w:ascii="宋体" w:hAnsi="宋体" w:eastAsia="宋体" w:cs="宋体"/>
          <w:b/>
          <w:snapToGrid w:val="0"/>
          <w:kern w:val="0"/>
          <w:sz w:val="24"/>
        </w:rPr>
      </w:pPr>
      <w:r>
        <w:rPr>
          <w:rFonts w:hint="eastAsia" w:ascii="宋体" w:hAnsi="宋体" w:eastAsia="宋体" w:cs="宋体"/>
          <w:b/>
          <w:snapToGrid w:val="0"/>
          <w:kern w:val="0"/>
          <w:sz w:val="24"/>
        </w:rPr>
        <w:t>2.2.3基站覆盖地理环境数据采集</w:t>
      </w:r>
    </w:p>
    <w:p w14:paraId="3C761B72">
      <w:pPr>
        <w:pStyle w:val="16"/>
        <w:numPr>
          <w:ilvl w:val="0"/>
          <w:numId w:val="5"/>
        </w:numPr>
        <w:spacing w:line="360" w:lineRule="auto"/>
        <w:ind w:firstLineChars="0"/>
        <w:jc w:val="left"/>
        <w:rPr>
          <w:rFonts w:ascii="宋体" w:hAnsi="宋体" w:eastAsia="宋体" w:cs="宋体"/>
          <w:sz w:val="24"/>
        </w:rPr>
      </w:pPr>
      <w:r>
        <w:rPr>
          <w:rFonts w:hint="eastAsia" w:eastAsia="宋体"/>
          <w:b/>
          <w:bCs/>
        </w:rPr>
        <w:t>基站无线环境摄影：</w:t>
      </w:r>
      <w:r>
        <w:rPr>
          <w:rFonts w:hint="eastAsia"/>
        </w:rPr>
        <w:t>操作</w:t>
      </w:r>
      <w:r>
        <w:rPr>
          <w:rFonts w:hint="eastAsia" w:eastAsia="宋体"/>
        </w:rPr>
        <w:t>无人机飞行到铁塔上方，360度拍摄基站覆盖无线地理环境。</w:t>
      </w:r>
    </w:p>
    <w:p w14:paraId="3C761B73">
      <w:pPr>
        <w:widowControl/>
        <w:jc w:val="left"/>
        <w:rPr>
          <w:rFonts w:ascii="宋体" w:hAnsi="宋体" w:eastAsia="宋体" w:cs="宋体"/>
          <w:b/>
          <w:snapToGrid w:val="0"/>
          <w:kern w:val="0"/>
          <w:sz w:val="24"/>
        </w:rPr>
      </w:pPr>
      <w:r>
        <w:rPr>
          <w:rFonts w:hint="eastAsia" w:ascii="宋体" w:hAnsi="宋体" w:eastAsia="宋体" w:cs="宋体"/>
          <w:b/>
          <w:snapToGrid w:val="0"/>
          <w:kern w:val="0"/>
          <w:sz w:val="24"/>
        </w:rPr>
        <w:t>2.2.4 扫频数据采集</w:t>
      </w:r>
    </w:p>
    <w:p w14:paraId="3C761B74">
      <w:pPr>
        <w:spacing w:line="360" w:lineRule="auto"/>
        <w:ind w:firstLine="480" w:firstLineChars="200"/>
        <w:jc w:val="left"/>
        <w:rPr>
          <w:rFonts w:ascii="宋体" w:hAnsi="宋体" w:eastAsia="宋体" w:cs="宋体"/>
          <w:sz w:val="24"/>
        </w:rPr>
      </w:pPr>
      <w:r>
        <w:rPr>
          <w:rFonts w:hint="eastAsia" w:ascii="宋体" w:hAnsi="宋体" w:eastAsia="宋体" w:cs="宋体"/>
          <w:sz w:val="24"/>
        </w:rPr>
        <w:t>操作无人机对天面进行扫频，包括对天面进行不同方向的扫频采集，通过界面确认频率数据是否已识别。</w:t>
      </w:r>
    </w:p>
    <w:p w14:paraId="3C761B75">
      <w:pPr>
        <w:widowControl/>
        <w:jc w:val="left"/>
        <w:rPr>
          <w:rFonts w:ascii="宋体" w:hAnsi="宋体" w:eastAsia="宋体" w:cs="宋体"/>
          <w:b/>
          <w:snapToGrid w:val="0"/>
          <w:kern w:val="0"/>
          <w:sz w:val="24"/>
        </w:rPr>
      </w:pPr>
      <w:r>
        <w:rPr>
          <w:rFonts w:hint="eastAsia" w:ascii="宋体" w:hAnsi="宋体" w:eastAsia="宋体" w:cs="宋体"/>
          <w:b/>
          <w:snapToGrid w:val="0"/>
          <w:kern w:val="0"/>
          <w:sz w:val="24"/>
        </w:rPr>
        <w:t>2.2.5数据核查服务</w:t>
      </w:r>
    </w:p>
    <w:p w14:paraId="3C761B76">
      <w:pPr>
        <w:spacing w:line="360" w:lineRule="auto"/>
        <w:ind w:firstLine="480" w:firstLineChars="200"/>
        <w:jc w:val="left"/>
        <w:rPr>
          <w:rFonts w:ascii="宋体" w:hAnsi="宋体" w:eastAsia="宋体" w:cs="宋体"/>
          <w:sz w:val="24"/>
        </w:rPr>
      </w:pPr>
      <w:r>
        <w:rPr>
          <w:rFonts w:hint="eastAsia" w:ascii="宋体" w:hAnsi="宋体" w:eastAsia="宋体" w:cs="宋体"/>
          <w:sz w:val="24"/>
        </w:rPr>
        <w:t>无人机勘查</w:t>
      </w:r>
      <w:r>
        <w:rPr>
          <w:rFonts w:ascii="宋体" w:hAnsi="宋体" w:eastAsia="宋体" w:cs="宋体"/>
          <w:sz w:val="24"/>
        </w:rPr>
        <w:t>数据通过无线网络实时回传地面或服务器</w:t>
      </w:r>
      <w:r>
        <w:rPr>
          <w:rFonts w:hint="eastAsia" w:ascii="宋体" w:hAnsi="宋体" w:eastAsia="宋体" w:cs="宋体"/>
          <w:sz w:val="24"/>
        </w:rPr>
        <w:t>，根据需要对传输结果进行确认。</w:t>
      </w:r>
    </w:p>
    <w:p w14:paraId="3C761B77">
      <w:pPr>
        <w:widowControl/>
        <w:textAlignment w:val="center"/>
        <w:rPr>
          <w:rFonts w:ascii="宋体" w:hAnsi="宋体" w:eastAsia="宋体" w:cs="宋体"/>
          <w:color w:val="FF0000"/>
          <w:sz w:val="22"/>
          <w:szCs w:val="22"/>
        </w:rPr>
      </w:pPr>
      <w:r>
        <w:rPr>
          <w:rFonts w:hint="eastAsia" w:ascii="宋体" w:hAnsi="宋体" w:cs="宋体"/>
          <w:b/>
          <w:bCs/>
          <w:sz w:val="24"/>
        </w:rPr>
        <w:t>2.</w:t>
      </w:r>
      <w:r>
        <w:rPr>
          <w:rFonts w:ascii="宋体" w:hAnsi="宋体" w:cs="宋体"/>
          <w:b/>
          <w:bCs/>
          <w:sz w:val="24"/>
        </w:rPr>
        <w:t>3</w:t>
      </w:r>
      <w:r>
        <w:rPr>
          <w:rFonts w:hint="eastAsia" w:ascii="宋体" w:hAnsi="宋体" w:cs="宋体"/>
          <w:b/>
          <w:bCs/>
          <w:sz w:val="24"/>
          <w:lang w:val="en-US" w:eastAsia="zh-CN"/>
        </w:rPr>
        <w:t xml:space="preserve"> </w:t>
      </w:r>
      <w:r>
        <w:rPr>
          <w:rFonts w:hint="eastAsia" w:ascii="宋体" w:hAnsi="宋体" w:cs="宋体"/>
          <w:b/>
          <w:bCs/>
          <w:sz w:val="24"/>
        </w:rPr>
        <w:t>AI算法和低空监管</w:t>
      </w:r>
      <w:r>
        <w:rPr>
          <w:rFonts w:hint="eastAsia" w:ascii="宋体" w:hAnsi="宋体" w:cs="宋体"/>
          <w:b/>
          <w:bCs/>
          <w:sz w:val="24"/>
          <w:lang w:val="en-US" w:eastAsia="zh-CN"/>
        </w:rPr>
        <w:t>需求</w:t>
      </w:r>
      <w:r>
        <w:rPr>
          <w:rFonts w:hint="eastAsia" w:ascii="宋体" w:hAnsi="宋体" w:cs="宋体"/>
          <w:b/>
          <w:bCs/>
          <w:sz w:val="24"/>
        </w:rPr>
        <w:t>飞行支撑服务内容要求：</w:t>
      </w:r>
    </w:p>
    <w:p w14:paraId="3C761B78">
      <w:pPr>
        <w:pStyle w:val="16"/>
        <w:numPr>
          <w:ilvl w:val="0"/>
          <w:numId w:val="6"/>
        </w:numPr>
        <w:spacing w:line="360" w:lineRule="auto"/>
        <w:ind w:firstLineChars="0"/>
        <w:jc w:val="left"/>
        <w:rPr>
          <w:rFonts w:ascii="宋体" w:hAnsi="宋体" w:eastAsia="宋体" w:cs="宋体"/>
          <w:sz w:val="24"/>
        </w:rPr>
      </w:pPr>
      <w:r>
        <w:rPr>
          <w:rFonts w:hint="eastAsia" w:ascii="宋体" w:hAnsi="宋体" w:eastAsia="宋体" w:cs="宋体"/>
          <w:sz w:val="24"/>
        </w:rPr>
        <w:t>佛山海事局业务验证:大模型数据采集、安全监管、环境监管、电子围栏等业务飞行服务测试。</w:t>
      </w:r>
    </w:p>
    <w:p w14:paraId="3C761B79">
      <w:pPr>
        <w:pStyle w:val="16"/>
        <w:numPr>
          <w:ilvl w:val="0"/>
          <w:numId w:val="6"/>
        </w:numPr>
        <w:spacing w:line="360" w:lineRule="auto"/>
        <w:ind w:firstLineChars="0"/>
        <w:jc w:val="left"/>
        <w:rPr>
          <w:rFonts w:ascii="宋体" w:hAnsi="宋体" w:eastAsia="宋体" w:cs="宋体"/>
          <w:sz w:val="24"/>
        </w:rPr>
      </w:pPr>
      <w:r>
        <w:rPr>
          <w:rFonts w:hint="eastAsia" w:ascii="宋体" w:hAnsi="宋体" w:eastAsia="宋体" w:cs="宋体"/>
          <w:sz w:val="24"/>
        </w:rPr>
        <w:t>A</w:t>
      </w:r>
      <w:r>
        <w:rPr>
          <w:rFonts w:ascii="宋体" w:hAnsi="宋体" w:eastAsia="宋体" w:cs="宋体"/>
          <w:sz w:val="24"/>
        </w:rPr>
        <w:t>I</w:t>
      </w:r>
      <w:r>
        <w:rPr>
          <w:rFonts w:hint="eastAsia" w:ascii="宋体" w:hAnsi="宋体" w:eastAsia="宋体" w:cs="宋体"/>
          <w:sz w:val="24"/>
        </w:rPr>
        <w:t>算法验证:针对农林生态、农林监测、城乡治理、基础设施运维、交通管理、安防应急六大场景开展飞行服务测试。</w:t>
      </w:r>
    </w:p>
    <w:p w14:paraId="3C761B7A">
      <w:pPr>
        <w:pStyle w:val="16"/>
        <w:numPr>
          <w:ilvl w:val="0"/>
          <w:numId w:val="6"/>
        </w:numPr>
        <w:spacing w:line="360" w:lineRule="auto"/>
        <w:ind w:firstLineChars="0"/>
        <w:jc w:val="left"/>
        <w:rPr>
          <w:rFonts w:ascii="宋体" w:hAnsi="宋体" w:eastAsia="宋体" w:cs="宋体"/>
          <w:sz w:val="24"/>
        </w:rPr>
      </w:pPr>
      <w:r>
        <w:rPr>
          <w:rFonts w:hint="eastAsia" w:ascii="宋体" w:hAnsi="宋体" w:eastAsia="宋体" w:cs="宋体"/>
          <w:sz w:val="24"/>
        </w:rPr>
        <w:t>监管平台能力验证:日常演练、公安平台能力验证飞行服务测试。</w:t>
      </w:r>
    </w:p>
    <w:p w14:paraId="3C761B7B">
      <w:pPr>
        <w:pStyle w:val="16"/>
        <w:numPr>
          <w:ilvl w:val="0"/>
          <w:numId w:val="6"/>
        </w:numPr>
        <w:spacing w:line="360" w:lineRule="auto"/>
        <w:ind w:firstLineChars="0"/>
        <w:jc w:val="left"/>
        <w:rPr>
          <w:rFonts w:ascii="宋体" w:hAnsi="宋体" w:eastAsia="宋体" w:cs="宋体"/>
          <w:sz w:val="24"/>
        </w:rPr>
      </w:pPr>
      <w:r>
        <w:rPr>
          <w:rFonts w:hint="eastAsia" w:ascii="宋体" w:hAnsi="宋体" w:eastAsia="宋体" w:cs="宋体"/>
          <w:sz w:val="24"/>
        </w:rPr>
        <w:t>推广培训：培训以及演示无人机飞行工作</w:t>
      </w:r>
      <w:r>
        <w:rPr>
          <w:rFonts w:ascii="宋体" w:hAnsi="宋体" w:eastAsia="宋体" w:cs="宋体"/>
          <w:sz w:val="24"/>
        </w:rPr>
        <w:t>。</w:t>
      </w:r>
    </w:p>
    <w:p w14:paraId="3C761B7C">
      <w:pPr>
        <w:keepNext/>
        <w:keepLines/>
        <w:numPr>
          <w:ilvl w:val="0"/>
          <w:numId w:val="2"/>
        </w:numPr>
        <w:spacing w:before="280" w:after="290" w:line="376" w:lineRule="auto"/>
        <w:outlineLvl w:val="3"/>
        <w:rPr>
          <w:rFonts w:ascii="Arial" w:hAnsi="Arial" w:eastAsia="黑体" w:cs="Times New Roman"/>
          <w:b/>
          <w:bCs/>
          <w:snapToGrid w:val="0"/>
          <w:sz w:val="24"/>
        </w:rPr>
      </w:pPr>
      <w:r>
        <w:rPr>
          <w:rFonts w:hint="eastAsia" w:ascii="Arial" w:hAnsi="Arial" w:eastAsia="黑体" w:cs="Times New Roman"/>
          <w:b/>
          <w:bCs/>
          <w:snapToGrid w:val="0"/>
          <w:sz w:val="24"/>
        </w:rPr>
        <w:t>服务团队要求</w:t>
      </w:r>
    </w:p>
    <w:p w14:paraId="3C761B7D">
      <w:pPr>
        <w:autoSpaceDE w:val="0"/>
        <w:autoSpaceDN w:val="0"/>
        <w:adjustRightInd w:val="0"/>
        <w:spacing w:line="360" w:lineRule="auto"/>
        <w:jc w:val="left"/>
        <w:rPr>
          <w:rFonts w:ascii="Times New Roman" w:hAnsi="Times New Roman" w:eastAsia="宋体" w:cs="Times New Roman"/>
          <w:b/>
          <w:bCs/>
          <w:color w:val="FF0000"/>
          <w:sz w:val="24"/>
          <w:highlight w:val="yellow"/>
        </w:rPr>
      </w:pPr>
      <w:r>
        <w:rPr>
          <w:rFonts w:hint="eastAsia" w:ascii="Times New Roman" w:hAnsi="Times New Roman" w:eastAsia="宋体" w:cs="Times New Roman"/>
          <w:b/>
          <w:bCs/>
          <w:sz w:val="24"/>
        </w:rPr>
        <w:t>3</w:t>
      </w:r>
      <w:r>
        <w:rPr>
          <w:rFonts w:ascii="Times New Roman" w:hAnsi="Times New Roman" w:eastAsia="宋体" w:cs="Times New Roman"/>
          <w:b/>
          <w:bCs/>
          <w:sz w:val="24"/>
        </w:rPr>
        <w:t>.1</w:t>
      </w:r>
      <w:r>
        <w:rPr>
          <w:rFonts w:hint="eastAsia" w:ascii="Times New Roman" w:hAnsi="Times New Roman" w:eastAsia="宋体" w:cs="Times New Roman"/>
          <w:b/>
          <w:bCs/>
          <w:sz w:val="24"/>
        </w:rPr>
        <w:t xml:space="preserve"> 服务团队配置要求，本项目服务团队不需要提供驻点服务。具体要求如下：</w:t>
      </w:r>
    </w:p>
    <w:p w14:paraId="3C761B7E">
      <w:pPr>
        <w:pStyle w:val="16"/>
        <w:numPr>
          <w:ilvl w:val="0"/>
          <w:numId w:val="7"/>
        </w:numPr>
        <w:spacing w:line="360" w:lineRule="auto"/>
        <w:ind w:firstLineChars="0"/>
        <w:jc w:val="left"/>
        <w:rPr>
          <w:rFonts w:ascii="宋体" w:hAnsi="宋体" w:eastAsia="宋体" w:cs="宋体"/>
          <w:sz w:val="24"/>
        </w:rPr>
      </w:pPr>
      <w:r>
        <w:rPr>
          <w:rFonts w:hint="eastAsia" w:ascii="宋体" w:hAnsi="宋体" w:eastAsia="宋体" w:cs="宋体"/>
          <w:sz w:val="24"/>
        </w:rPr>
        <w:t>提供不少于1名项目经理</w:t>
      </w:r>
      <w:r>
        <w:rPr>
          <w:rFonts w:ascii="宋体" w:hAnsi="宋体" w:eastAsia="宋体" w:cs="宋体"/>
          <w:sz w:val="24"/>
        </w:rPr>
        <w:t>，负责</w:t>
      </w:r>
      <w:r>
        <w:rPr>
          <w:rFonts w:hint="eastAsia" w:ascii="宋体" w:hAnsi="宋体" w:eastAsia="宋体" w:cs="宋体"/>
          <w:sz w:val="24"/>
        </w:rPr>
        <w:t>项目协调</w:t>
      </w:r>
      <w:r>
        <w:rPr>
          <w:rFonts w:ascii="宋体" w:hAnsi="宋体" w:eastAsia="宋体" w:cs="宋体"/>
          <w:sz w:val="24"/>
        </w:rPr>
        <w:t>、</w:t>
      </w:r>
      <w:r>
        <w:rPr>
          <w:rFonts w:hint="eastAsia" w:ascii="宋体" w:hAnsi="宋体" w:eastAsia="宋体" w:cs="宋体"/>
          <w:sz w:val="24"/>
        </w:rPr>
        <w:t>指挥调度。</w:t>
      </w:r>
    </w:p>
    <w:p w14:paraId="3C761B7F">
      <w:pPr>
        <w:pStyle w:val="16"/>
        <w:numPr>
          <w:ilvl w:val="0"/>
          <w:numId w:val="7"/>
        </w:numPr>
        <w:spacing w:line="360" w:lineRule="auto"/>
        <w:ind w:firstLineChars="0"/>
        <w:jc w:val="left"/>
        <w:rPr>
          <w:rFonts w:ascii="宋体" w:hAnsi="宋体" w:eastAsia="宋体" w:cs="宋体"/>
          <w:sz w:val="24"/>
        </w:rPr>
      </w:pPr>
      <w:r>
        <w:rPr>
          <w:rFonts w:hint="eastAsia" w:ascii="宋体" w:hAnsi="宋体" w:eastAsia="宋体" w:cs="宋体"/>
          <w:sz w:val="24"/>
        </w:rPr>
        <w:t>提供不少于21名团队成员，协助项目经理完成项目的飞行任务，协助开展新业务验证飞行任务。</w:t>
      </w:r>
    </w:p>
    <w:p w14:paraId="3C761B80">
      <w:pPr>
        <w:pStyle w:val="16"/>
        <w:numPr>
          <w:ilvl w:val="0"/>
          <w:numId w:val="7"/>
        </w:numPr>
        <w:spacing w:line="360" w:lineRule="auto"/>
        <w:ind w:firstLineChars="0"/>
        <w:jc w:val="left"/>
        <w:rPr>
          <w:rFonts w:ascii="宋体" w:hAnsi="宋体" w:eastAsia="宋体" w:cs="宋体"/>
          <w:sz w:val="24"/>
        </w:rPr>
      </w:pPr>
      <w:r>
        <w:rPr>
          <w:rFonts w:hint="eastAsia" w:ascii="宋体" w:hAnsi="宋体" w:eastAsia="宋体" w:cs="宋体"/>
          <w:sz w:val="24"/>
        </w:rPr>
        <w:t>应答人应当严格按照</w:t>
      </w:r>
      <w:r>
        <w:rPr>
          <w:rFonts w:hint="eastAsia" w:ascii="宋体" w:hAnsi="宋体" w:eastAsia="宋体" w:cs="宋体"/>
          <w:sz w:val="24"/>
          <w:lang w:eastAsia="zh-CN"/>
        </w:rPr>
        <w:t>采购人</w:t>
      </w:r>
      <w:r>
        <w:rPr>
          <w:rFonts w:hint="eastAsia" w:ascii="宋体" w:hAnsi="宋体" w:eastAsia="宋体" w:cs="宋体"/>
          <w:sz w:val="24"/>
        </w:rPr>
        <w:t>管理要求与标准，做好培训与监管，切实保障项目服务质量。应答人所有本项目服务人员须完成规定的培训，才能上岗。</w:t>
      </w:r>
    </w:p>
    <w:p w14:paraId="3C761B81">
      <w:pPr>
        <w:pStyle w:val="16"/>
        <w:numPr>
          <w:ilvl w:val="0"/>
          <w:numId w:val="7"/>
        </w:numPr>
        <w:spacing w:line="360" w:lineRule="auto"/>
        <w:ind w:firstLineChars="0"/>
        <w:jc w:val="left"/>
        <w:rPr>
          <w:rFonts w:ascii="宋体" w:hAnsi="宋体" w:eastAsia="宋体" w:cs="宋体"/>
          <w:sz w:val="24"/>
        </w:rPr>
      </w:pPr>
      <w:r>
        <w:rPr>
          <w:rFonts w:hint="eastAsia" w:ascii="宋体" w:hAnsi="宋体" w:eastAsia="宋体" w:cs="宋体"/>
          <w:sz w:val="24"/>
        </w:rPr>
        <w:t>应答人应确保所有应答人的人员严格遵守和服从</w:t>
      </w:r>
      <w:r>
        <w:rPr>
          <w:rFonts w:hint="eastAsia" w:ascii="宋体" w:hAnsi="宋体" w:eastAsia="宋体" w:cs="宋体"/>
          <w:sz w:val="24"/>
          <w:lang w:eastAsia="zh-CN"/>
        </w:rPr>
        <w:t>采购人</w:t>
      </w:r>
      <w:r>
        <w:rPr>
          <w:rFonts w:hint="eastAsia" w:ascii="宋体" w:hAnsi="宋体" w:eastAsia="宋体" w:cs="宋体"/>
          <w:sz w:val="24"/>
        </w:rPr>
        <w:t>的各项工作制度和管理条例以及安全出入管理规定。</w:t>
      </w:r>
    </w:p>
    <w:p w14:paraId="3C761B82">
      <w:pPr>
        <w:pStyle w:val="16"/>
        <w:numPr>
          <w:ilvl w:val="0"/>
          <w:numId w:val="7"/>
        </w:numPr>
        <w:spacing w:line="360" w:lineRule="auto"/>
        <w:ind w:firstLineChars="0"/>
        <w:jc w:val="left"/>
        <w:rPr>
          <w:rFonts w:ascii="宋体" w:hAnsi="宋体" w:eastAsia="宋体" w:cs="宋体"/>
          <w:sz w:val="24"/>
        </w:rPr>
      </w:pPr>
      <w:r>
        <w:rPr>
          <w:rFonts w:hint="eastAsia" w:ascii="宋体" w:hAnsi="宋体" w:eastAsia="宋体" w:cs="宋体"/>
          <w:sz w:val="24"/>
          <w:lang w:eastAsia="zh-CN"/>
        </w:rPr>
        <w:t>采购人</w:t>
      </w:r>
      <w:r>
        <w:rPr>
          <w:rFonts w:hint="eastAsia" w:ascii="宋体" w:hAnsi="宋体" w:eastAsia="宋体" w:cs="宋体"/>
          <w:sz w:val="24"/>
        </w:rPr>
        <w:t>对应答人团队中不符合要求或不能胜任工作的人员有提出更换的权力，应答人应当无条件服从</w:t>
      </w:r>
      <w:r>
        <w:rPr>
          <w:rFonts w:hint="eastAsia" w:ascii="宋体" w:hAnsi="宋体" w:eastAsia="宋体" w:cs="宋体"/>
          <w:sz w:val="24"/>
          <w:lang w:eastAsia="zh-CN"/>
        </w:rPr>
        <w:t>采购人</w:t>
      </w:r>
      <w:r>
        <w:rPr>
          <w:rFonts w:hint="eastAsia" w:ascii="宋体" w:hAnsi="宋体" w:eastAsia="宋体" w:cs="宋体"/>
          <w:sz w:val="24"/>
        </w:rPr>
        <w:t>管理要求。</w:t>
      </w:r>
    </w:p>
    <w:p w14:paraId="3C761B83">
      <w:pPr>
        <w:pStyle w:val="16"/>
        <w:numPr>
          <w:ilvl w:val="0"/>
          <w:numId w:val="7"/>
        </w:numPr>
        <w:spacing w:line="360" w:lineRule="auto"/>
        <w:ind w:firstLineChars="0"/>
        <w:jc w:val="left"/>
        <w:rPr>
          <w:rFonts w:ascii="宋体" w:hAnsi="宋体" w:eastAsia="宋体" w:cs="宋体"/>
          <w:sz w:val="24"/>
        </w:rPr>
      </w:pPr>
      <w:r>
        <w:rPr>
          <w:rFonts w:hint="eastAsia" w:ascii="宋体" w:hAnsi="宋体" w:eastAsia="宋体" w:cs="宋体"/>
          <w:sz w:val="24"/>
        </w:rPr>
        <w:t>如应答人员工在工作期间发生工伤等意外情况并导致经济损失或人身伤害的，由此产生的相关责任与损失由应答人自行承担。</w:t>
      </w:r>
    </w:p>
    <w:p w14:paraId="3C761B84">
      <w:pPr>
        <w:pStyle w:val="5"/>
        <w:tabs>
          <w:tab w:val="left" w:pos="0"/>
          <w:tab w:val="left" w:pos="993"/>
          <w:tab w:val="left" w:pos="1134"/>
        </w:tabs>
        <w:spacing w:line="360" w:lineRule="auto"/>
        <w:rPr>
          <w:rFonts w:ascii="宋体" w:hAnsi="宋体" w:cs="宋体"/>
          <w:b/>
          <w:bCs/>
          <w:sz w:val="24"/>
          <w:szCs w:val="24"/>
          <w:lang w:val="zh-CN"/>
        </w:rPr>
      </w:pPr>
      <w:r>
        <w:rPr>
          <w:rFonts w:hint="eastAsia" w:ascii="宋体" w:hAnsi="宋体" w:cs="宋体"/>
          <w:b/>
          <w:bCs/>
          <w:sz w:val="24"/>
          <w:szCs w:val="24"/>
        </w:rPr>
        <w:t>3</w:t>
      </w:r>
      <w:r>
        <w:rPr>
          <w:rFonts w:ascii="宋体" w:hAnsi="宋体" w:cs="宋体"/>
          <w:b/>
          <w:bCs/>
          <w:sz w:val="24"/>
          <w:szCs w:val="24"/>
        </w:rPr>
        <w:t>.2</w:t>
      </w:r>
      <w:r>
        <w:rPr>
          <w:rFonts w:hint="eastAsia" w:ascii="宋体" w:hAnsi="宋体" w:cs="宋体"/>
          <w:b/>
          <w:bCs/>
          <w:sz w:val="24"/>
          <w:szCs w:val="24"/>
        </w:rPr>
        <w:t xml:space="preserve"> </w:t>
      </w:r>
      <w:r>
        <w:rPr>
          <w:rFonts w:hint="eastAsia" w:ascii="宋体" w:hAnsi="宋体" w:cs="宋体"/>
          <w:b/>
          <w:bCs/>
          <w:sz w:val="24"/>
          <w:szCs w:val="24"/>
          <w:lang w:val="zh-CN"/>
        </w:rPr>
        <w:t>人员资质要求</w:t>
      </w:r>
    </w:p>
    <w:p w14:paraId="3C761B85">
      <w:pPr>
        <w:pStyle w:val="16"/>
        <w:numPr>
          <w:ilvl w:val="0"/>
          <w:numId w:val="8"/>
        </w:numPr>
        <w:spacing w:line="360" w:lineRule="auto"/>
        <w:ind w:firstLineChars="0"/>
        <w:jc w:val="left"/>
        <w:rPr>
          <w:rFonts w:ascii="宋体" w:hAnsi="宋体" w:eastAsia="宋体" w:cs="宋体"/>
          <w:sz w:val="24"/>
        </w:rPr>
      </w:pPr>
      <w:r>
        <w:rPr>
          <w:rFonts w:hint="eastAsia" w:ascii="宋体" w:hAnsi="宋体" w:eastAsia="宋体" w:cs="宋体"/>
          <w:sz w:val="24"/>
        </w:rPr>
        <w:t>人员资质要求</w:t>
      </w:r>
    </w:p>
    <w:p w14:paraId="3C761B86">
      <w:pPr>
        <w:spacing w:line="360" w:lineRule="auto"/>
        <w:ind w:firstLine="480" w:firstLineChars="200"/>
        <w:jc w:val="left"/>
        <w:rPr>
          <w:rFonts w:ascii="宋体" w:hAnsi="宋体" w:eastAsia="宋体" w:cs="宋体"/>
          <w:sz w:val="24"/>
        </w:rPr>
      </w:pPr>
      <w:r>
        <w:rPr>
          <w:rFonts w:hint="eastAsia" w:ascii="宋体" w:hAnsi="宋体" w:eastAsia="宋体" w:cs="宋体"/>
          <w:sz w:val="24"/>
        </w:rPr>
        <w:t>所有团队成员应保证熟悉甲方的业务流程、规章制度以及无人机巡检相关技能。</w:t>
      </w:r>
    </w:p>
    <w:p w14:paraId="3C761B87">
      <w:pPr>
        <w:pStyle w:val="16"/>
        <w:numPr>
          <w:ilvl w:val="0"/>
          <w:numId w:val="8"/>
        </w:numPr>
        <w:spacing w:line="360" w:lineRule="auto"/>
        <w:ind w:firstLineChars="0"/>
        <w:jc w:val="left"/>
        <w:rPr>
          <w:rFonts w:ascii="宋体" w:hAnsi="宋体" w:eastAsia="宋体" w:cs="宋体"/>
          <w:sz w:val="24"/>
        </w:rPr>
      </w:pPr>
      <w:r>
        <w:rPr>
          <w:rFonts w:hint="eastAsia" w:ascii="宋体" w:hAnsi="宋体" w:eastAsia="宋体" w:cs="宋体"/>
          <w:sz w:val="24"/>
        </w:rPr>
        <w:t>人员变更要求</w:t>
      </w:r>
    </w:p>
    <w:p w14:paraId="3C761B88">
      <w:pPr>
        <w:spacing w:line="360" w:lineRule="auto"/>
        <w:ind w:firstLine="480" w:firstLineChars="200"/>
        <w:jc w:val="left"/>
        <w:rPr>
          <w:rFonts w:ascii="宋体" w:hAnsi="宋体" w:eastAsia="宋体" w:cs="宋体"/>
          <w:sz w:val="24"/>
        </w:rPr>
      </w:pPr>
      <w:r>
        <w:rPr>
          <w:rFonts w:hint="eastAsia" w:ascii="宋体" w:hAnsi="宋体" w:eastAsia="宋体" w:cs="宋体"/>
          <w:sz w:val="24"/>
        </w:rPr>
        <w:t>甲方提出的维护人员更换：甲方根据业务支撑服务人员工作态度、工作能力、出勤率和沟通能力等各方面工作情况，有权决定更换服务人员。乙方应在甲方提出更换人员要求的一个月时间内，安排其他符合甲方要求的业务支撑人员到场。</w:t>
      </w:r>
    </w:p>
    <w:p w14:paraId="3C761B89">
      <w:pPr>
        <w:pStyle w:val="5"/>
        <w:tabs>
          <w:tab w:val="left" w:pos="0"/>
          <w:tab w:val="left" w:pos="993"/>
          <w:tab w:val="left" w:pos="1134"/>
        </w:tabs>
        <w:spacing w:line="360" w:lineRule="auto"/>
        <w:rPr>
          <w:rFonts w:ascii="宋体" w:hAnsi="宋体" w:cs="宋体"/>
          <w:b/>
          <w:bCs/>
          <w:sz w:val="24"/>
          <w:szCs w:val="24"/>
        </w:rPr>
      </w:pPr>
      <w:r>
        <w:rPr>
          <w:rFonts w:hint="eastAsia" w:ascii="宋体" w:hAnsi="宋体" w:cs="宋体"/>
          <w:b/>
          <w:bCs/>
          <w:sz w:val="24"/>
          <w:szCs w:val="24"/>
        </w:rPr>
        <w:t>3.3 工器具要求</w:t>
      </w:r>
    </w:p>
    <w:p w14:paraId="3C761B8A">
      <w:pPr>
        <w:spacing w:line="360" w:lineRule="auto"/>
        <w:ind w:firstLine="480" w:firstLineChars="200"/>
        <w:jc w:val="left"/>
        <w:rPr>
          <w:rFonts w:ascii="宋体" w:hAnsi="宋体" w:eastAsia="宋体" w:cs="宋体"/>
          <w:sz w:val="24"/>
        </w:rPr>
      </w:pPr>
      <w:r>
        <w:rPr>
          <w:rFonts w:hint="eastAsia" w:ascii="宋体" w:hAnsi="宋体" w:eastAsia="宋体" w:cs="宋体"/>
          <w:sz w:val="24"/>
        </w:rPr>
        <w:t>应答人应确保为至少</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支</w:t>
      </w:r>
      <w:r>
        <w:rPr>
          <w:rFonts w:hint="eastAsia" w:ascii="宋体" w:hAnsi="宋体" w:eastAsia="宋体" w:cs="宋体"/>
          <w:sz w:val="24"/>
        </w:rPr>
        <w:t>服务队伍配备必需工器具，每个服务队伍配备一套飞行必需的工器具（满足</w:t>
      </w:r>
      <w:r>
        <w:rPr>
          <w:rFonts w:ascii="宋体" w:hAnsi="宋体" w:eastAsia="宋体" w:cs="宋体"/>
          <w:sz w:val="24"/>
        </w:rPr>
        <w:t>项目要求的电池套装</w:t>
      </w:r>
      <w:r>
        <w:rPr>
          <w:rFonts w:hint="eastAsia" w:ascii="宋体" w:hAnsi="宋体" w:eastAsia="宋体" w:cs="宋体"/>
          <w:sz w:val="24"/>
        </w:rPr>
        <w:t>（一个充电管家+</w:t>
      </w:r>
      <w:r>
        <w:rPr>
          <w:rFonts w:ascii="宋体" w:hAnsi="宋体" w:eastAsia="宋体" w:cs="宋体"/>
          <w:sz w:val="24"/>
        </w:rPr>
        <w:t>3块电池</w:t>
      </w:r>
      <w:r>
        <w:rPr>
          <w:rFonts w:hint="eastAsia" w:ascii="宋体" w:hAnsi="宋体" w:eastAsia="宋体" w:cs="宋体"/>
          <w:sz w:val="24"/>
        </w:rPr>
        <w:t>）+满足项目要求的移动电源1度电）。</w:t>
      </w:r>
    </w:p>
    <w:p w14:paraId="3C761B8B">
      <w:pPr>
        <w:pStyle w:val="5"/>
        <w:tabs>
          <w:tab w:val="left" w:pos="0"/>
          <w:tab w:val="left" w:pos="993"/>
          <w:tab w:val="left" w:pos="1134"/>
        </w:tabs>
        <w:spacing w:line="360" w:lineRule="auto"/>
        <w:rPr>
          <w:rFonts w:ascii="宋体" w:hAnsi="宋体" w:cs="宋体"/>
          <w:b/>
          <w:bCs/>
          <w:sz w:val="24"/>
          <w:szCs w:val="24"/>
        </w:rPr>
      </w:pPr>
      <w:r>
        <w:rPr>
          <w:rFonts w:hint="eastAsia" w:ascii="宋体" w:hAnsi="宋体" w:cs="宋体"/>
          <w:b/>
          <w:bCs/>
          <w:sz w:val="24"/>
          <w:szCs w:val="24"/>
        </w:rPr>
        <w:t>3.</w:t>
      </w:r>
      <w:r>
        <w:rPr>
          <w:rFonts w:ascii="宋体" w:hAnsi="宋体" w:cs="宋体"/>
          <w:b/>
          <w:bCs/>
          <w:sz w:val="24"/>
          <w:szCs w:val="24"/>
        </w:rPr>
        <w:t>4</w:t>
      </w:r>
      <w:r>
        <w:rPr>
          <w:rFonts w:hint="eastAsia" w:ascii="宋体" w:hAnsi="宋体" w:cs="宋体"/>
          <w:b/>
          <w:bCs/>
          <w:sz w:val="24"/>
          <w:szCs w:val="24"/>
        </w:rPr>
        <w:t>无人机网络巡检基站数据采集能力要求</w:t>
      </w:r>
    </w:p>
    <w:p w14:paraId="3C761B8C">
      <w:pPr>
        <w:pStyle w:val="16"/>
        <w:numPr>
          <w:ilvl w:val="0"/>
          <w:numId w:val="9"/>
        </w:numPr>
        <w:spacing w:line="360" w:lineRule="auto"/>
        <w:ind w:firstLineChars="0"/>
        <w:jc w:val="left"/>
        <w:rPr>
          <w:rFonts w:ascii="宋体" w:hAnsi="宋体" w:eastAsia="宋体" w:cs="宋体"/>
          <w:sz w:val="24"/>
        </w:rPr>
      </w:pPr>
      <w:r>
        <w:rPr>
          <w:rFonts w:hint="eastAsia" w:ascii="宋体" w:hAnsi="宋体" w:eastAsia="宋体" w:cs="宋体"/>
          <w:sz w:val="24"/>
        </w:rPr>
        <w:t>飞手能够操作无人机拍摄定点定高数据，采集天线挂高、楼高、塔基高度。</w:t>
      </w:r>
    </w:p>
    <w:p w14:paraId="3C761B8D">
      <w:pPr>
        <w:pStyle w:val="16"/>
        <w:numPr>
          <w:ilvl w:val="0"/>
          <w:numId w:val="9"/>
        </w:numPr>
        <w:spacing w:line="360" w:lineRule="auto"/>
        <w:ind w:firstLineChars="0"/>
        <w:jc w:val="left"/>
        <w:rPr>
          <w:rFonts w:ascii="宋体" w:hAnsi="宋体" w:eastAsia="宋体" w:cs="宋体"/>
          <w:sz w:val="24"/>
        </w:rPr>
      </w:pPr>
      <w:r>
        <w:rPr>
          <w:rFonts w:hint="eastAsia" w:ascii="宋体" w:hAnsi="宋体" w:eastAsia="宋体" w:cs="宋体"/>
          <w:sz w:val="24"/>
        </w:rPr>
        <w:t>飞手能够操作无人机拍摄天面侧面图，要求天面侧面在图片中间区域，位于对角线交叉位置。</w:t>
      </w:r>
    </w:p>
    <w:p w14:paraId="3C761B8E">
      <w:pPr>
        <w:pStyle w:val="16"/>
        <w:numPr>
          <w:ilvl w:val="0"/>
          <w:numId w:val="9"/>
        </w:numPr>
        <w:spacing w:line="360" w:lineRule="auto"/>
        <w:ind w:firstLineChars="0"/>
        <w:jc w:val="left"/>
        <w:rPr>
          <w:rFonts w:ascii="宋体" w:hAnsi="宋体" w:eastAsia="宋体" w:cs="宋体"/>
          <w:sz w:val="24"/>
        </w:rPr>
      </w:pPr>
      <w:r>
        <w:rPr>
          <w:rFonts w:hint="eastAsia" w:ascii="宋体" w:hAnsi="宋体" w:eastAsia="宋体" w:cs="宋体"/>
          <w:sz w:val="24"/>
        </w:rPr>
        <w:t>飞手能够操作无人机拍摄天面方位角图，要求天面正面在图片中间区域，位于对角线交叉位置。</w:t>
      </w:r>
    </w:p>
    <w:p w14:paraId="3C761B8F">
      <w:pPr>
        <w:pStyle w:val="16"/>
        <w:numPr>
          <w:ilvl w:val="0"/>
          <w:numId w:val="9"/>
        </w:numPr>
        <w:spacing w:line="360" w:lineRule="auto"/>
        <w:ind w:firstLineChars="0"/>
        <w:jc w:val="left"/>
        <w:rPr>
          <w:rFonts w:ascii="宋体" w:hAnsi="宋体" w:eastAsia="宋体" w:cs="宋体"/>
          <w:sz w:val="24"/>
        </w:rPr>
      </w:pPr>
      <w:r>
        <w:rPr>
          <w:rFonts w:hint="eastAsia" w:ascii="宋体" w:hAnsi="宋体" w:eastAsia="宋体" w:cs="宋体"/>
          <w:sz w:val="24"/>
        </w:rPr>
        <w:t>飞手能够对采集的图片或数据，推送到湾区院平台。</w:t>
      </w:r>
    </w:p>
    <w:p w14:paraId="3C761B90">
      <w:pPr>
        <w:pStyle w:val="16"/>
        <w:numPr>
          <w:ilvl w:val="0"/>
          <w:numId w:val="9"/>
        </w:numPr>
        <w:spacing w:line="360" w:lineRule="auto"/>
        <w:ind w:firstLineChars="0"/>
        <w:jc w:val="left"/>
        <w:rPr>
          <w:rFonts w:ascii="宋体" w:hAnsi="宋体" w:eastAsia="宋体" w:cs="宋体"/>
          <w:sz w:val="24"/>
        </w:rPr>
      </w:pPr>
      <w:r>
        <w:rPr>
          <w:rFonts w:hint="eastAsia" w:ascii="宋体" w:hAnsi="宋体" w:eastAsia="宋体" w:cs="宋体"/>
          <w:sz w:val="24"/>
        </w:rPr>
        <w:t>飞手能够对采集的图片或数据，对照接口参数，人工进行数据的齐全性进行确认。</w:t>
      </w:r>
    </w:p>
    <w:p w14:paraId="3C761B91">
      <w:pPr>
        <w:keepNext/>
        <w:keepLines/>
        <w:numPr>
          <w:ilvl w:val="0"/>
          <w:numId w:val="2"/>
        </w:numPr>
        <w:spacing w:before="280" w:after="290" w:line="376" w:lineRule="auto"/>
        <w:outlineLvl w:val="3"/>
        <w:rPr>
          <w:rFonts w:ascii="Arial" w:hAnsi="Arial" w:eastAsia="黑体" w:cs="Times New Roman"/>
          <w:b/>
          <w:bCs/>
          <w:snapToGrid w:val="0"/>
          <w:sz w:val="24"/>
        </w:rPr>
      </w:pPr>
      <w:r>
        <w:rPr>
          <w:rFonts w:hint="eastAsia" w:ascii="Arial" w:hAnsi="Arial" w:eastAsia="黑体" w:cs="Times New Roman"/>
          <w:b/>
          <w:bCs/>
          <w:snapToGrid w:val="0"/>
          <w:sz w:val="24"/>
        </w:rPr>
        <w:t>服务期限要求</w:t>
      </w:r>
    </w:p>
    <w:p w14:paraId="3C761B92">
      <w:pPr>
        <w:spacing w:line="360" w:lineRule="auto"/>
        <w:ind w:firstLine="480" w:firstLineChars="200"/>
        <w:jc w:val="left"/>
        <w:rPr>
          <w:rFonts w:ascii="宋体" w:hAnsi="宋体" w:eastAsia="宋体" w:cs="宋体"/>
          <w:sz w:val="24"/>
        </w:rPr>
      </w:pPr>
      <w:r>
        <w:rPr>
          <w:rFonts w:hint="eastAsia" w:ascii="宋体" w:hAnsi="宋体" w:eastAsia="宋体" w:cs="宋体"/>
          <w:sz w:val="24"/>
        </w:rPr>
        <w:t>本次服务时间为自合同签订之日起至202</w:t>
      </w:r>
      <w:r>
        <w:rPr>
          <w:rFonts w:ascii="宋体" w:hAnsi="宋体" w:eastAsia="宋体" w:cs="宋体"/>
          <w:sz w:val="24"/>
        </w:rPr>
        <w:t>6</w:t>
      </w:r>
      <w:r>
        <w:rPr>
          <w:rFonts w:hint="eastAsia" w:ascii="宋体" w:hAnsi="宋体" w:eastAsia="宋体" w:cs="宋体"/>
          <w:sz w:val="24"/>
        </w:rPr>
        <w:t>年12月31日止。</w:t>
      </w:r>
    </w:p>
    <w:p w14:paraId="3C761B93">
      <w:pPr>
        <w:keepNext/>
        <w:keepLines/>
        <w:numPr>
          <w:ilvl w:val="0"/>
          <w:numId w:val="2"/>
        </w:numPr>
        <w:spacing w:before="280" w:after="290" w:line="376" w:lineRule="auto"/>
        <w:outlineLvl w:val="3"/>
        <w:rPr>
          <w:rFonts w:ascii="Arial" w:hAnsi="Arial" w:eastAsia="黑体" w:cs="Times New Roman"/>
          <w:b/>
          <w:bCs/>
          <w:snapToGrid w:val="0"/>
          <w:sz w:val="24"/>
        </w:rPr>
      </w:pPr>
      <w:r>
        <w:rPr>
          <w:rFonts w:hint="eastAsia" w:ascii="Arial" w:hAnsi="Arial" w:eastAsia="黑体" w:cs="Times New Roman"/>
          <w:b/>
          <w:bCs/>
          <w:snapToGrid w:val="0"/>
          <w:sz w:val="24"/>
        </w:rPr>
        <w:t>其它服务要求</w:t>
      </w:r>
    </w:p>
    <w:p w14:paraId="3C761B94">
      <w:pPr>
        <w:spacing w:line="360" w:lineRule="auto"/>
        <w:ind w:firstLine="480" w:firstLineChars="200"/>
        <w:jc w:val="left"/>
        <w:rPr>
          <w:rFonts w:ascii="宋体" w:hAnsi="宋体" w:eastAsia="宋体" w:cs="宋体"/>
          <w:sz w:val="24"/>
        </w:rPr>
      </w:pPr>
      <w:r>
        <w:rPr>
          <w:rFonts w:hint="eastAsia" w:ascii="宋体" w:hAnsi="宋体" w:eastAsia="宋体" w:cs="宋体"/>
          <w:sz w:val="24"/>
        </w:rPr>
        <w:t>服务方应具备良好的客户服务能力和技术支撑能力，清晰有效的服务方式与流程，并设有7*24小时服务电话，为客户提供及时、完善的支撑服务。</w:t>
      </w:r>
      <w:bookmarkStart w:id="5" w:name="_MON_1728128520"/>
      <w:bookmarkEnd w:id="5"/>
    </w:p>
    <w:p w14:paraId="3C761B95">
      <w:pPr>
        <w:keepNext/>
        <w:keepLines/>
        <w:numPr>
          <w:ilvl w:val="0"/>
          <w:numId w:val="2"/>
        </w:numPr>
        <w:spacing w:before="280" w:after="290" w:line="376" w:lineRule="auto"/>
        <w:outlineLvl w:val="3"/>
        <w:rPr>
          <w:rFonts w:ascii="Arial" w:hAnsi="Arial" w:eastAsia="黑体" w:cs="Times New Roman"/>
          <w:b/>
          <w:bCs/>
          <w:snapToGrid w:val="0"/>
          <w:sz w:val="24"/>
        </w:rPr>
      </w:pPr>
      <w:r>
        <w:rPr>
          <w:rFonts w:hint="eastAsia" w:ascii="Arial" w:hAnsi="Arial" w:eastAsia="黑体" w:cs="Times New Roman"/>
          <w:b/>
          <w:bCs/>
          <w:snapToGrid w:val="0"/>
          <w:sz w:val="24"/>
        </w:rPr>
        <w:t>甲方乙方其他分工界面</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2771"/>
        <w:gridCol w:w="4773"/>
      </w:tblGrid>
      <w:tr w14:paraId="3C761B99">
        <w:trPr>
          <w:trHeight w:val="280" w:hRule="atLeast"/>
        </w:trPr>
        <w:tc>
          <w:tcPr>
            <w:tcW w:w="572" w:type="pct"/>
            <w:vAlign w:val="center"/>
          </w:tcPr>
          <w:p w14:paraId="3C761B96">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序号</w:t>
            </w:r>
          </w:p>
        </w:tc>
        <w:tc>
          <w:tcPr>
            <w:tcW w:w="1626" w:type="pct"/>
            <w:vAlign w:val="center"/>
          </w:tcPr>
          <w:p w14:paraId="3C761B97">
            <w:pPr>
              <w:ind w:firstLine="480" w:firstLineChars="200"/>
              <w:jc w:val="center"/>
              <w:textAlignment w:val="center"/>
              <w:rPr>
                <w:rFonts w:ascii="宋体" w:hAnsi="宋体" w:eastAsia="宋体" w:cs="宋体"/>
                <w:snapToGrid w:val="0"/>
                <w:kern w:val="0"/>
                <w:sz w:val="24"/>
              </w:rPr>
            </w:pPr>
            <w:r>
              <w:rPr>
                <w:rFonts w:hint="eastAsia" w:ascii="宋体" w:hAnsi="宋体" w:eastAsia="宋体" w:cs="宋体"/>
                <w:snapToGrid w:val="0"/>
                <w:kern w:val="0"/>
                <w:sz w:val="24"/>
              </w:rPr>
              <w:t>甲方</w:t>
            </w:r>
          </w:p>
        </w:tc>
        <w:tc>
          <w:tcPr>
            <w:tcW w:w="2800" w:type="pct"/>
            <w:vAlign w:val="center"/>
          </w:tcPr>
          <w:p w14:paraId="3C761B98">
            <w:pPr>
              <w:ind w:firstLine="480" w:firstLineChars="200"/>
              <w:jc w:val="center"/>
              <w:textAlignment w:val="center"/>
              <w:rPr>
                <w:rFonts w:ascii="宋体" w:hAnsi="宋体" w:eastAsia="宋体" w:cs="宋体"/>
                <w:snapToGrid w:val="0"/>
                <w:kern w:val="0"/>
                <w:sz w:val="24"/>
              </w:rPr>
            </w:pPr>
            <w:r>
              <w:rPr>
                <w:rFonts w:hint="eastAsia" w:ascii="宋体" w:hAnsi="宋体" w:eastAsia="宋体" w:cs="宋体"/>
                <w:snapToGrid w:val="0"/>
                <w:kern w:val="0"/>
                <w:sz w:val="24"/>
              </w:rPr>
              <w:t>乙方</w:t>
            </w:r>
          </w:p>
        </w:tc>
      </w:tr>
      <w:tr w14:paraId="3C761B9D">
        <w:trPr>
          <w:trHeight w:val="280" w:hRule="atLeast"/>
        </w:trPr>
        <w:tc>
          <w:tcPr>
            <w:tcW w:w="572" w:type="pct"/>
            <w:vAlign w:val="center"/>
          </w:tcPr>
          <w:p w14:paraId="3C761B9A">
            <w:pPr>
              <w:autoSpaceDE w:val="0"/>
              <w:autoSpaceDN w:val="0"/>
              <w:adjustRightInd w:val="0"/>
              <w:spacing w:line="360" w:lineRule="auto"/>
              <w:ind w:firstLine="480" w:firstLineChars="200"/>
              <w:jc w:val="left"/>
              <w:rPr>
                <w:rFonts w:ascii="宋体" w:hAnsi="宋体" w:eastAsia="宋体" w:cs="宋体"/>
                <w:snapToGrid w:val="0"/>
                <w:kern w:val="0"/>
                <w:sz w:val="24"/>
              </w:rPr>
            </w:pPr>
            <w:r>
              <w:rPr>
                <w:rFonts w:hint="eastAsia" w:ascii="宋体" w:hAnsi="宋体" w:eastAsia="宋体" w:cs="宋体"/>
                <w:snapToGrid w:val="0"/>
                <w:kern w:val="0"/>
                <w:sz w:val="24"/>
              </w:rPr>
              <w:t>1</w:t>
            </w:r>
          </w:p>
        </w:tc>
        <w:tc>
          <w:tcPr>
            <w:tcW w:w="1626" w:type="pct"/>
            <w:vAlign w:val="center"/>
          </w:tcPr>
          <w:p w14:paraId="3C761B9B">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负责提供飞巡区域</w:t>
            </w:r>
          </w:p>
        </w:tc>
        <w:tc>
          <w:tcPr>
            <w:tcW w:w="2800" w:type="pct"/>
            <w:vAlign w:val="center"/>
          </w:tcPr>
          <w:p w14:paraId="3C761B9C">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负责飞巡空域报备</w:t>
            </w:r>
          </w:p>
        </w:tc>
      </w:tr>
      <w:tr w14:paraId="3C761BA1">
        <w:trPr>
          <w:trHeight w:val="560" w:hRule="atLeast"/>
        </w:trPr>
        <w:tc>
          <w:tcPr>
            <w:tcW w:w="572" w:type="pct"/>
            <w:vAlign w:val="center"/>
          </w:tcPr>
          <w:p w14:paraId="3C761B9E">
            <w:pPr>
              <w:autoSpaceDE w:val="0"/>
              <w:autoSpaceDN w:val="0"/>
              <w:adjustRightInd w:val="0"/>
              <w:spacing w:line="360" w:lineRule="auto"/>
              <w:ind w:firstLine="480" w:firstLineChars="200"/>
              <w:jc w:val="left"/>
              <w:rPr>
                <w:rFonts w:ascii="宋体" w:hAnsi="宋体" w:eastAsia="宋体" w:cs="宋体"/>
                <w:snapToGrid w:val="0"/>
                <w:kern w:val="0"/>
                <w:sz w:val="24"/>
              </w:rPr>
            </w:pPr>
            <w:r>
              <w:rPr>
                <w:rFonts w:hint="eastAsia" w:ascii="宋体" w:hAnsi="宋体" w:eastAsia="宋体" w:cs="宋体"/>
                <w:snapToGrid w:val="0"/>
                <w:kern w:val="0"/>
                <w:sz w:val="24"/>
              </w:rPr>
              <w:t>2</w:t>
            </w:r>
          </w:p>
        </w:tc>
        <w:tc>
          <w:tcPr>
            <w:tcW w:w="1626" w:type="pct"/>
            <w:vAlign w:val="center"/>
          </w:tcPr>
          <w:p w14:paraId="3C761B9F">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负责提供飞巡主设备（含无人机）</w:t>
            </w:r>
          </w:p>
        </w:tc>
        <w:tc>
          <w:tcPr>
            <w:tcW w:w="2800" w:type="pct"/>
            <w:vAlign w:val="center"/>
          </w:tcPr>
          <w:p w14:paraId="3C761BA0">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负责设备保管</w:t>
            </w:r>
            <w:r>
              <w:rPr>
                <w:rFonts w:ascii="宋体" w:hAnsi="宋体" w:eastAsia="宋体" w:cs="宋体"/>
                <w:snapToGrid w:val="0"/>
                <w:kern w:val="0"/>
                <w:sz w:val="24"/>
              </w:rPr>
              <w:t xml:space="preserve"> </w:t>
            </w:r>
          </w:p>
        </w:tc>
      </w:tr>
      <w:tr w14:paraId="3C761BA5">
        <w:trPr>
          <w:trHeight w:val="280" w:hRule="atLeast"/>
        </w:trPr>
        <w:tc>
          <w:tcPr>
            <w:tcW w:w="572" w:type="pct"/>
            <w:vAlign w:val="center"/>
          </w:tcPr>
          <w:p w14:paraId="3C761BA2">
            <w:pPr>
              <w:autoSpaceDE w:val="0"/>
              <w:autoSpaceDN w:val="0"/>
              <w:adjustRightInd w:val="0"/>
              <w:spacing w:line="360" w:lineRule="auto"/>
              <w:ind w:firstLine="480" w:firstLineChars="200"/>
              <w:jc w:val="left"/>
              <w:rPr>
                <w:rFonts w:ascii="宋体" w:hAnsi="宋体" w:eastAsia="宋体" w:cs="宋体"/>
                <w:snapToGrid w:val="0"/>
                <w:kern w:val="0"/>
                <w:sz w:val="24"/>
              </w:rPr>
            </w:pPr>
            <w:r>
              <w:rPr>
                <w:rFonts w:hint="eastAsia" w:ascii="宋体" w:hAnsi="宋体" w:eastAsia="宋体" w:cs="宋体"/>
                <w:snapToGrid w:val="0"/>
                <w:kern w:val="0"/>
                <w:sz w:val="24"/>
              </w:rPr>
              <w:t>3</w:t>
            </w:r>
          </w:p>
        </w:tc>
        <w:tc>
          <w:tcPr>
            <w:tcW w:w="1626" w:type="pct"/>
            <w:vAlign w:val="center"/>
          </w:tcPr>
          <w:p w14:paraId="3C761BA3">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负责分配飞巡站点及场所</w:t>
            </w:r>
          </w:p>
        </w:tc>
        <w:tc>
          <w:tcPr>
            <w:tcW w:w="2800" w:type="pct"/>
            <w:vAlign w:val="center"/>
          </w:tcPr>
          <w:p w14:paraId="3C761BA4">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负责根据甲方提供站点及场所进行巡飞工作</w:t>
            </w:r>
          </w:p>
        </w:tc>
      </w:tr>
      <w:tr w14:paraId="3C761BA9">
        <w:trPr>
          <w:trHeight w:val="280" w:hRule="atLeast"/>
        </w:trPr>
        <w:tc>
          <w:tcPr>
            <w:tcW w:w="572" w:type="pct"/>
            <w:noWrap/>
            <w:vAlign w:val="center"/>
          </w:tcPr>
          <w:p w14:paraId="3C761BA6">
            <w:pPr>
              <w:autoSpaceDE w:val="0"/>
              <w:autoSpaceDN w:val="0"/>
              <w:adjustRightInd w:val="0"/>
              <w:spacing w:line="360" w:lineRule="auto"/>
              <w:ind w:firstLine="480" w:firstLineChars="200"/>
              <w:jc w:val="left"/>
              <w:rPr>
                <w:rFonts w:ascii="宋体" w:hAnsi="宋体" w:eastAsia="宋体" w:cs="宋体"/>
                <w:snapToGrid w:val="0"/>
                <w:kern w:val="0"/>
                <w:sz w:val="24"/>
              </w:rPr>
            </w:pPr>
            <w:r>
              <w:rPr>
                <w:rFonts w:hint="eastAsia" w:ascii="宋体" w:hAnsi="宋体" w:eastAsia="宋体" w:cs="宋体"/>
                <w:snapToGrid w:val="0"/>
                <w:kern w:val="0"/>
                <w:sz w:val="24"/>
              </w:rPr>
              <w:t>4</w:t>
            </w:r>
          </w:p>
        </w:tc>
        <w:tc>
          <w:tcPr>
            <w:tcW w:w="1626" w:type="pct"/>
            <w:noWrap/>
            <w:vAlign w:val="center"/>
          </w:tcPr>
          <w:p w14:paraId="3C761BA7">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负责平台数据的接收</w:t>
            </w:r>
          </w:p>
        </w:tc>
        <w:tc>
          <w:tcPr>
            <w:tcW w:w="2800" w:type="pct"/>
            <w:noWrap/>
            <w:vAlign w:val="center"/>
          </w:tcPr>
          <w:p w14:paraId="3C761BA8">
            <w:pPr>
              <w:autoSpaceDE w:val="0"/>
              <w:autoSpaceDN w:val="0"/>
              <w:adjustRightInd w:val="0"/>
              <w:spacing w:line="360" w:lineRule="auto"/>
              <w:jc w:val="left"/>
              <w:rPr>
                <w:rFonts w:ascii="宋体" w:hAnsi="宋体" w:eastAsia="宋体" w:cs="宋体"/>
                <w:snapToGrid w:val="0"/>
                <w:kern w:val="0"/>
                <w:sz w:val="24"/>
              </w:rPr>
            </w:pPr>
            <w:r>
              <w:rPr>
                <w:rFonts w:hint="eastAsia" w:ascii="宋体" w:hAnsi="宋体" w:eastAsia="宋体" w:cs="宋体"/>
                <w:snapToGrid w:val="0"/>
                <w:kern w:val="0"/>
                <w:sz w:val="24"/>
              </w:rPr>
              <w:t>负责巡检数据上报</w:t>
            </w:r>
          </w:p>
        </w:tc>
      </w:tr>
    </w:tbl>
    <w:p w14:paraId="3C761BAA">
      <w:pPr>
        <w:numPr>
          <w:ilvl w:val="255"/>
          <w:numId w:val="0"/>
        </w:numPr>
        <w:autoSpaceDE w:val="0"/>
        <w:autoSpaceDN w:val="0"/>
        <w:adjustRightInd w:val="0"/>
        <w:spacing w:line="360" w:lineRule="auto"/>
        <w:jc w:val="left"/>
        <w:rPr>
          <w:rFonts w:ascii="宋体" w:hAnsi="宋体" w:eastAsia="宋体" w:cs="宋体"/>
          <w:snapToGrid w:val="0"/>
          <w:kern w:val="0"/>
          <w:sz w:val="24"/>
        </w:rPr>
      </w:pPr>
    </w:p>
    <w:sectPr>
      <w:headerReference r:id="rId4" w:type="first"/>
      <w:footerReference r:id="rId7" w:type="first"/>
      <w:footerReference r:id="rId5" w:type="default"/>
      <w:headerReference r:id="rId3" w:type="even"/>
      <w:footerReference r:id="rId6" w:type="even"/>
      <w:pgSz w:w="11906" w:h="16838"/>
      <w:pgMar w:top="1312" w:right="1800" w:bottom="1440" w:left="1800" w:header="779"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rPr>
      <w:id w:val="127409527"/>
    </w:sdtPr>
    <w:sdtEndPr>
      <w:rPr>
        <w:rFonts w:ascii="Arial" w:hAnsi="Arial" w:eastAsia="宋体" w:cs="Times New Roman"/>
        <w:sz w:val="18"/>
        <w:szCs w:val="18"/>
      </w:rPr>
    </w:sdtEndPr>
    <w:sdtContent>
      <w:sdt>
        <w:sdtPr>
          <w:rPr>
            <w:rFonts w:ascii="Times New Roman" w:hAnsi="Times New Roman" w:eastAsia="宋体" w:cs="Times New Roman"/>
          </w:rPr>
          <w:id w:val="171357217"/>
        </w:sdtPr>
        <w:sdtEndPr>
          <w:rPr>
            <w:rFonts w:ascii="Arial" w:hAnsi="Arial" w:eastAsia="宋体" w:cs="Times New Roman"/>
            <w:sz w:val="18"/>
            <w:szCs w:val="18"/>
          </w:rPr>
        </w:sdtEndPr>
        <w:sdtContent>
          <w:p w14:paraId="3C761BB5">
            <w:pPr>
              <w:jc w:val="center"/>
              <w:rPr>
                <w:rFonts w:ascii="Arial" w:hAnsi="Arial" w:eastAsia="宋体" w:cs="Times New Roman"/>
                <w:sz w:val="18"/>
                <w:szCs w:val="18"/>
              </w:rPr>
            </w:pPr>
            <w:r>
              <w:rPr>
                <w:rFonts w:ascii="Arial" w:hAnsi="Arial" w:eastAsia="宋体" w:cs="Times New Roman"/>
                <w:sz w:val="18"/>
                <w:szCs w:val="18"/>
                <w:lang w:val="zh-CN"/>
              </w:rPr>
              <w:t xml:space="preserve"> </w:t>
            </w:r>
            <w:r>
              <w:rPr>
                <w:rFonts w:ascii="Arial" w:hAnsi="Arial" w:eastAsia="宋体" w:cs="Times New Roman"/>
                <w:b/>
                <w:sz w:val="24"/>
              </w:rPr>
              <w:fldChar w:fldCharType="begin"/>
            </w:r>
            <w:r>
              <w:rPr>
                <w:rFonts w:ascii="Arial" w:hAnsi="Arial" w:eastAsia="宋体" w:cs="Times New Roman"/>
                <w:b/>
                <w:sz w:val="18"/>
                <w:szCs w:val="18"/>
              </w:rPr>
              <w:instrText xml:space="preserve">PAGE</w:instrText>
            </w:r>
            <w:r>
              <w:rPr>
                <w:rFonts w:ascii="Arial" w:hAnsi="Arial" w:eastAsia="宋体" w:cs="Times New Roman"/>
                <w:b/>
                <w:sz w:val="24"/>
              </w:rPr>
              <w:fldChar w:fldCharType="separate"/>
            </w:r>
            <w:r>
              <w:rPr>
                <w:rFonts w:ascii="Arial" w:hAnsi="Arial" w:eastAsia="宋体" w:cs="Times New Roman"/>
                <w:b/>
                <w:sz w:val="18"/>
                <w:szCs w:val="18"/>
              </w:rPr>
              <w:t>4</w:t>
            </w:r>
            <w:r>
              <w:rPr>
                <w:rFonts w:ascii="Arial" w:hAnsi="Arial" w:eastAsia="宋体" w:cs="Times New Roman"/>
                <w:b/>
                <w:sz w:val="24"/>
              </w:rPr>
              <w:fldChar w:fldCharType="end"/>
            </w:r>
            <w:r>
              <w:rPr>
                <w:rFonts w:ascii="Arial" w:hAnsi="Arial" w:eastAsia="宋体" w:cs="Times New Roman"/>
                <w:sz w:val="18"/>
                <w:szCs w:val="18"/>
                <w:lang w:val="zh-CN"/>
              </w:rPr>
              <w:t xml:space="preserve"> / </w:t>
            </w:r>
            <w:r>
              <w:rPr>
                <w:rFonts w:ascii="Arial" w:hAnsi="Arial" w:eastAsia="宋体" w:cs="Times New Roman"/>
                <w:b/>
                <w:sz w:val="24"/>
              </w:rPr>
              <w:fldChar w:fldCharType="begin"/>
            </w:r>
            <w:r>
              <w:rPr>
                <w:rFonts w:ascii="Arial" w:hAnsi="Arial" w:eastAsia="宋体" w:cs="Times New Roman"/>
                <w:b/>
                <w:sz w:val="18"/>
                <w:szCs w:val="18"/>
              </w:rPr>
              <w:instrText xml:space="preserve">NUMPAGES</w:instrText>
            </w:r>
            <w:r>
              <w:rPr>
                <w:rFonts w:ascii="Arial" w:hAnsi="Arial" w:eastAsia="宋体" w:cs="Times New Roman"/>
                <w:b/>
                <w:sz w:val="24"/>
              </w:rPr>
              <w:fldChar w:fldCharType="separate"/>
            </w:r>
            <w:r>
              <w:rPr>
                <w:rFonts w:ascii="Arial" w:hAnsi="Arial" w:eastAsia="宋体" w:cs="Times New Roman"/>
                <w:b/>
                <w:sz w:val="18"/>
                <w:szCs w:val="18"/>
              </w:rPr>
              <w:t>5</w:t>
            </w:r>
            <w:r>
              <w:rPr>
                <w:rFonts w:ascii="Arial" w:hAnsi="Arial" w:eastAsia="宋体" w:cs="Times New Roman"/>
                <w:b/>
                <w:sz w:val="24"/>
              </w:rPr>
              <w:fldChar w:fldCharType="end"/>
            </w:r>
          </w:p>
        </w:sdtContent>
      </w:sdt>
    </w:sdtContent>
  </w:sdt>
  <w:p w14:paraId="3C761BB6">
    <w:pPr>
      <w:rPr>
        <w:rFonts w:ascii="Arial" w:hAnsi="Arial" w:eastAsia="宋体" w:cs="Times New Roman"/>
        <w:sz w:val="18"/>
        <w:szCs w:val="18"/>
      </w:rPr>
    </w:pPr>
  </w:p>
  <w:p w14:paraId="3C761BB7"/>
  <w:p w14:paraId="3C761B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61BB2">
    <w:pPr>
      <w:ind w:firstLine="360"/>
      <w:rPr>
        <w:rFonts w:ascii="Arial" w:hAnsi="Arial" w:eastAsia="宋体" w:cs="Times New Roman"/>
        <w:sz w:val="18"/>
        <w:szCs w:val="18"/>
      </w:rPr>
    </w:pPr>
  </w:p>
  <w:p w14:paraId="3C761BB3"/>
  <w:p w14:paraId="3C761BB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61BBA">
    <w:pPr>
      <w:ind w:firstLine="360"/>
      <w:rPr>
        <w:rFonts w:ascii="Arial" w:hAnsi="Arial" w:eastAsia="宋体"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61BAF">
    <w:pPr>
      <w:tabs>
        <w:tab w:val="center" w:pos="4153"/>
        <w:tab w:val="right" w:pos="8306"/>
      </w:tabs>
      <w:snapToGrid w:val="0"/>
      <w:ind w:firstLine="360"/>
      <w:rPr>
        <w:rFonts w:ascii="Arial" w:hAnsi="Arial" w:eastAsia="宋体" w:cs="Times New Roman"/>
        <w:sz w:val="18"/>
        <w:szCs w:val="18"/>
      </w:rPr>
    </w:pPr>
  </w:p>
  <w:p w14:paraId="3C761BB0"/>
  <w:p w14:paraId="3C761B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61BB9">
    <w:pPr>
      <w:tabs>
        <w:tab w:val="center" w:pos="4153"/>
        <w:tab w:val="right" w:pos="8306"/>
      </w:tabs>
      <w:snapToGrid w:val="0"/>
      <w:ind w:firstLine="360"/>
      <w:rPr>
        <w:rFonts w:ascii="Arial" w:hAnsi="Arial"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595E2A"/>
    <w:multiLevelType w:val="multilevel"/>
    <w:tmpl w:val="09595E2A"/>
    <w:lvl w:ilvl="0" w:tentative="0">
      <w:start w:val="1"/>
      <w:numFmt w:val="decimal"/>
      <w:lvlText w:val="%1."/>
      <w:lvlJc w:val="left"/>
      <w:pPr>
        <w:tabs>
          <w:tab w:val="left" w:pos="425"/>
        </w:tabs>
        <w:ind w:left="425" w:hanging="425"/>
      </w:pPr>
      <w:rPr>
        <w:rFonts w:hint="eastAsia"/>
      </w:rPr>
    </w:lvl>
    <w:lvl w:ilvl="1" w:tentative="0">
      <w:start w:val="1"/>
      <w:numFmt w:val="decimal"/>
      <w:pStyle w:val="2"/>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1418"/>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177E7947"/>
    <w:multiLevelType w:val="multilevel"/>
    <w:tmpl w:val="177E7947"/>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5DC81075"/>
    <w:multiLevelType w:val="multilevel"/>
    <w:tmpl w:val="5DC81075"/>
    <w:lvl w:ilvl="0" w:tentative="0">
      <w:start w:val="1"/>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21D4B3B"/>
    <w:multiLevelType w:val="multilevel"/>
    <w:tmpl w:val="621D4B3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CF40E3F"/>
    <w:multiLevelType w:val="multilevel"/>
    <w:tmpl w:val="6CF40E3F"/>
    <w:lvl w:ilvl="0" w:tentative="0">
      <w:start w:val="1"/>
      <w:numFmt w:val="decimal"/>
      <w:lvlText w:val="%1)"/>
      <w:lvlJc w:val="left"/>
      <w:pPr>
        <w:ind w:left="900" w:hanging="420"/>
      </w:pPr>
      <w:rPr>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6F001972"/>
    <w:multiLevelType w:val="multilevel"/>
    <w:tmpl w:val="6F001972"/>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78F07325"/>
    <w:multiLevelType w:val="multilevel"/>
    <w:tmpl w:val="78F0732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7C5A4B06"/>
    <w:multiLevelType w:val="multilevel"/>
    <w:tmpl w:val="7C5A4B0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7DF5056E"/>
    <w:multiLevelType w:val="multilevel"/>
    <w:tmpl w:val="7DF5056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num>
  <w:num w:numId="5">
    <w:abstractNumId w:val="3"/>
  </w:num>
  <w:num w:numId="6">
    <w:abstractNumId w:val="1"/>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iMzRhNjMzYTMxMWYxNjQyNmNhZDI3NGNjODBhODAifQ=="/>
  </w:docVars>
  <w:rsids>
    <w:rsidRoot w:val="00EC2273"/>
    <w:rsid w:val="00002EB0"/>
    <w:rsid w:val="0003276E"/>
    <w:rsid w:val="00056E08"/>
    <w:rsid w:val="00073428"/>
    <w:rsid w:val="00077DC8"/>
    <w:rsid w:val="00081B10"/>
    <w:rsid w:val="000A236B"/>
    <w:rsid w:val="000D3D64"/>
    <w:rsid w:val="000E657E"/>
    <w:rsid w:val="001067B7"/>
    <w:rsid w:val="00195790"/>
    <w:rsid w:val="001A42FE"/>
    <w:rsid w:val="001A6042"/>
    <w:rsid w:val="001D1C80"/>
    <w:rsid w:val="00217203"/>
    <w:rsid w:val="00271D90"/>
    <w:rsid w:val="00282209"/>
    <w:rsid w:val="002904BC"/>
    <w:rsid w:val="00290E3C"/>
    <w:rsid w:val="0029280F"/>
    <w:rsid w:val="002E0924"/>
    <w:rsid w:val="002F2960"/>
    <w:rsid w:val="002F30C5"/>
    <w:rsid w:val="00305AFB"/>
    <w:rsid w:val="003121CA"/>
    <w:rsid w:val="003307C0"/>
    <w:rsid w:val="003B0E63"/>
    <w:rsid w:val="003B133B"/>
    <w:rsid w:val="003B1C03"/>
    <w:rsid w:val="003B2DFF"/>
    <w:rsid w:val="0042135D"/>
    <w:rsid w:val="00427AA2"/>
    <w:rsid w:val="00484872"/>
    <w:rsid w:val="004A71DD"/>
    <w:rsid w:val="004C003A"/>
    <w:rsid w:val="004E6280"/>
    <w:rsid w:val="00524070"/>
    <w:rsid w:val="00566CAF"/>
    <w:rsid w:val="00576C1C"/>
    <w:rsid w:val="0058558E"/>
    <w:rsid w:val="00585E22"/>
    <w:rsid w:val="005C6307"/>
    <w:rsid w:val="005D19FA"/>
    <w:rsid w:val="005E63A9"/>
    <w:rsid w:val="0060308B"/>
    <w:rsid w:val="006B217A"/>
    <w:rsid w:val="006D639C"/>
    <w:rsid w:val="006E764E"/>
    <w:rsid w:val="007522BE"/>
    <w:rsid w:val="00773505"/>
    <w:rsid w:val="00777D54"/>
    <w:rsid w:val="0078350F"/>
    <w:rsid w:val="007A15CC"/>
    <w:rsid w:val="007A2091"/>
    <w:rsid w:val="007C3914"/>
    <w:rsid w:val="007D51CB"/>
    <w:rsid w:val="007E3209"/>
    <w:rsid w:val="008419AD"/>
    <w:rsid w:val="00875931"/>
    <w:rsid w:val="00880F1C"/>
    <w:rsid w:val="008927FD"/>
    <w:rsid w:val="008D2B5B"/>
    <w:rsid w:val="00906324"/>
    <w:rsid w:val="0090632C"/>
    <w:rsid w:val="00924F78"/>
    <w:rsid w:val="009548E8"/>
    <w:rsid w:val="009669FF"/>
    <w:rsid w:val="00A96735"/>
    <w:rsid w:val="00A97D78"/>
    <w:rsid w:val="00B0537E"/>
    <w:rsid w:val="00B3099D"/>
    <w:rsid w:val="00B43C91"/>
    <w:rsid w:val="00B50871"/>
    <w:rsid w:val="00B517EF"/>
    <w:rsid w:val="00B55885"/>
    <w:rsid w:val="00B754AD"/>
    <w:rsid w:val="00B94CB7"/>
    <w:rsid w:val="00BC0964"/>
    <w:rsid w:val="00BC5EF6"/>
    <w:rsid w:val="00C3661C"/>
    <w:rsid w:val="00C41A0B"/>
    <w:rsid w:val="00C816A4"/>
    <w:rsid w:val="00C87A1D"/>
    <w:rsid w:val="00CD7DB5"/>
    <w:rsid w:val="00CF1707"/>
    <w:rsid w:val="00D60198"/>
    <w:rsid w:val="00D74D80"/>
    <w:rsid w:val="00D96D64"/>
    <w:rsid w:val="00DC44EC"/>
    <w:rsid w:val="00DF35A9"/>
    <w:rsid w:val="00E15A4A"/>
    <w:rsid w:val="00E17489"/>
    <w:rsid w:val="00E33744"/>
    <w:rsid w:val="00E54C94"/>
    <w:rsid w:val="00E9239C"/>
    <w:rsid w:val="00EC2273"/>
    <w:rsid w:val="00EC4D64"/>
    <w:rsid w:val="00EC6116"/>
    <w:rsid w:val="00F13763"/>
    <w:rsid w:val="00F41308"/>
    <w:rsid w:val="00FB5732"/>
    <w:rsid w:val="00FE5B68"/>
    <w:rsid w:val="013A39FB"/>
    <w:rsid w:val="03125417"/>
    <w:rsid w:val="053B4859"/>
    <w:rsid w:val="06973DFF"/>
    <w:rsid w:val="070C491F"/>
    <w:rsid w:val="09D04526"/>
    <w:rsid w:val="0CB96FD7"/>
    <w:rsid w:val="102A0FD2"/>
    <w:rsid w:val="10686C78"/>
    <w:rsid w:val="125D21F8"/>
    <w:rsid w:val="144B1DAC"/>
    <w:rsid w:val="1644595B"/>
    <w:rsid w:val="16CE195E"/>
    <w:rsid w:val="176509B8"/>
    <w:rsid w:val="178269DF"/>
    <w:rsid w:val="17974DC1"/>
    <w:rsid w:val="17F0F2B8"/>
    <w:rsid w:val="17F52BDC"/>
    <w:rsid w:val="1BF37744"/>
    <w:rsid w:val="1D837FD9"/>
    <w:rsid w:val="1EC91F8E"/>
    <w:rsid w:val="1FD72823"/>
    <w:rsid w:val="1FFB6872"/>
    <w:rsid w:val="20DF40C8"/>
    <w:rsid w:val="21F27BBF"/>
    <w:rsid w:val="232C1EE7"/>
    <w:rsid w:val="23C01ACF"/>
    <w:rsid w:val="23D9487F"/>
    <w:rsid w:val="24C11F5B"/>
    <w:rsid w:val="25721163"/>
    <w:rsid w:val="25901818"/>
    <w:rsid w:val="26DB4D14"/>
    <w:rsid w:val="2715190A"/>
    <w:rsid w:val="285E0920"/>
    <w:rsid w:val="289C6E4D"/>
    <w:rsid w:val="28C325A8"/>
    <w:rsid w:val="29BF8CAA"/>
    <w:rsid w:val="2A557F75"/>
    <w:rsid w:val="2A7A32C9"/>
    <w:rsid w:val="2AAB1CD2"/>
    <w:rsid w:val="2C603641"/>
    <w:rsid w:val="2D737498"/>
    <w:rsid w:val="2E930678"/>
    <w:rsid w:val="2F373360"/>
    <w:rsid w:val="2FF78C3D"/>
    <w:rsid w:val="30A03943"/>
    <w:rsid w:val="314E44C6"/>
    <w:rsid w:val="319F6710"/>
    <w:rsid w:val="32AE0B6A"/>
    <w:rsid w:val="33EF5C46"/>
    <w:rsid w:val="348B4C30"/>
    <w:rsid w:val="34BA700D"/>
    <w:rsid w:val="34BE2EB3"/>
    <w:rsid w:val="34FF4A9D"/>
    <w:rsid w:val="356E638F"/>
    <w:rsid w:val="36AF11A0"/>
    <w:rsid w:val="38A96204"/>
    <w:rsid w:val="3A0133F9"/>
    <w:rsid w:val="3A6D2704"/>
    <w:rsid w:val="3AB7077B"/>
    <w:rsid w:val="3D604FD8"/>
    <w:rsid w:val="3DFF7251"/>
    <w:rsid w:val="3E0204AE"/>
    <w:rsid w:val="3E125F76"/>
    <w:rsid w:val="3F7E6187"/>
    <w:rsid w:val="3FB4CA62"/>
    <w:rsid w:val="3FFFE966"/>
    <w:rsid w:val="41005860"/>
    <w:rsid w:val="41130852"/>
    <w:rsid w:val="41504F61"/>
    <w:rsid w:val="426757D9"/>
    <w:rsid w:val="43624C67"/>
    <w:rsid w:val="439E3932"/>
    <w:rsid w:val="4565155C"/>
    <w:rsid w:val="45F77E09"/>
    <w:rsid w:val="463259C9"/>
    <w:rsid w:val="46BA0199"/>
    <w:rsid w:val="46FF0793"/>
    <w:rsid w:val="4838060A"/>
    <w:rsid w:val="48E452A7"/>
    <w:rsid w:val="4A7A1637"/>
    <w:rsid w:val="4ABC6DEC"/>
    <w:rsid w:val="4B9908FA"/>
    <w:rsid w:val="4B9F639D"/>
    <w:rsid w:val="4BB52838"/>
    <w:rsid w:val="4BE1398E"/>
    <w:rsid w:val="4C8C381E"/>
    <w:rsid w:val="4E2FBBAF"/>
    <w:rsid w:val="4FF92A4D"/>
    <w:rsid w:val="501E5E1A"/>
    <w:rsid w:val="50F609B0"/>
    <w:rsid w:val="5103700B"/>
    <w:rsid w:val="510731B4"/>
    <w:rsid w:val="51F9B5AC"/>
    <w:rsid w:val="534DFF69"/>
    <w:rsid w:val="53C27B7A"/>
    <w:rsid w:val="53FB61C3"/>
    <w:rsid w:val="54E610E4"/>
    <w:rsid w:val="550A4679"/>
    <w:rsid w:val="55BC5E06"/>
    <w:rsid w:val="55EF38C6"/>
    <w:rsid w:val="56202D93"/>
    <w:rsid w:val="56260894"/>
    <w:rsid w:val="572D5AF0"/>
    <w:rsid w:val="573E0974"/>
    <w:rsid w:val="57FDEBEA"/>
    <w:rsid w:val="58900246"/>
    <w:rsid w:val="59A93F02"/>
    <w:rsid w:val="5A5BA1A1"/>
    <w:rsid w:val="5A7D216C"/>
    <w:rsid w:val="5A8467B2"/>
    <w:rsid w:val="5ADF3D44"/>
    <w:rsid w:val="5B1F2C21"/>
    <w:rsid w:val="5BF50AD6"/>
    <w:rsid w:val="5D302635"/>
    <w:rsid w:val="5DB713FD"/>
    <w:rsid w:val="5DFDF59D"/>
    <w:rsid w:val="5EAAA317"/>
    <w:rsid w:val="60D809DC"/>
    <w:rsid w:val="63222312"/>
    <w:rsid w:val="63750531"/>
    <w:rsid w:val="63F6C961"/>
    <w:rsid w:val="647E30EE"/>
    <w:rsid w:val="65D614BC"/>
    <w:rsid w:val="66953AD3"/>
    <w:rsid w:val="680603FD"/>
    <w:rsid w:val="68544BFF"/>
    <w:rsid w:val="699424ED"/>
    <w:rsid w:val="69C92930"/>
    <w:rsid w:val="6A107439"/>
    <w:rsid w:val="6AB56AA1"/>
    <w:rsid w:val="6ABF6769"/>
    <w:rsid w:val="6AFFDD18"/>
    <w:rsid w:val="6BB943CF"/>
    <w:rsid w:val="6BE4779B"/>
    <w:rsid w:val="6C3870FA"/>
    <w:rsid w:val="6D8B6DD7"/>
    <w:rsid w:val="6DFB9F72"/>
    <w:rsid w:val="6F1B6E5E"/>
    <w:rsid w:val="6F51652A"/>
    <w:rsid w:val="6F7D5767"/>
    <w:rsid w:val="6F7D6AC7"/>
    <w:rsid w:val="6F9CCEEE"/>
    <w:rsid w:val="6FBF3C1B"/>
    <w:rsid w:val="723E0CEC"/>
    <w:rsid w:val="72601854"/>
    <w:rsid w:val="729F57FE"/>
    <w:rsid w:val="733FC744"/>
    <w:rsid w:val="73DEF238"/>
    <w:rsid w:val="7521456C"/>
    <w:rsid w:val="75B73AC5"/>
    <w:rsid w:val="75BFBA5E"/>
    <w:rsid w:val="76B13D52"/>
    <w:rsid w:val="777C9450"/>
    <w:rsid w:val="77D72C81"/>
    <w:rsid w:val="77FE5B8C"/>
    <w:rsid w:val="78632E2A"/>
    <w:rsid w:val="78B46482"/>
    <w:rsid w:val="78F30652"/>
    <w:rsid w:val="79053EE1"/>
    <w:rsid w:val="79F78A0D"/>
    <w:rsid w:val="7AD27EDC"/>
    <w:rsid w:val="7B710920"/>
    <w:rsid w:val="7B900AB9"/>
    <w:rsid w:val="7BBE33E2"/>
    <w:rsid w:val="7BED9EDF"/>
    <w:rsid w:val="7BFB34E3"/>
    <w:rsid w:val="7C7211BC"/>
    <w:rsid w:val="7C984F8D"/>
    <w:rsid w:val="7D772BA0"/>
    <w:rsid w:val="7DCB45C0"/>
    <w:rsid w:val="7DDD2EB1"/>
    <w:rsid w:val="7E6F74F3"/>
    <w:rsid w:val="7EB56BE0"/>
    <w:rsid w:val="7F3BE447"/>
    <w:rsid w:val="7F95DF13"/>
    <w:rsid w:val="7FDFCD1A"/>
    <w:rsid w:val="7FE7525B"/>
    <w:rsid w:val="7FE9EF6A"/>
    <w:rsid w:val="7FF01447"/>
    <w:rsid w:val="7FFF6BDC"/>
    <w:rsid w:val="8FBF22F7"/>
    <w:rsid w:val="9EAF7E19"/>
    <w:rsid w:val="9F7D3066"/>
    <w:rsid w:val="A7EF1429"/>
    <w:rsid w:val="AC7A4766"/>
    <w:rsid w:val="B73E76BA"/>
    <w:rsid w:val="B8BF1E90"/>
    <w:rsid w:val="BB7207E2"/>
    <w:rsid w:val="BBBB9B50"/>
    <w:rsid w:val="BBFF0093"/>
    <w:rsid w:val="BDAD2179"/>
    <w:rsid w:val="BE2CB191"/>
    <w:rsid w:val="CFFB7AED"/>
    <w:rsid w:val="D6FCFF4C"/>
    <w:rsid w:val="D7FD0E45"/>
    <w:rsid w:val="D9FF91AF"/>
    <w:rsid w:val="DBFDFEDE"/>
    <w:rsid w:val="DDFF5871"/>
    <w:rsid w:val="DEDFE4BF"/>
    <w:rsid w:val="DFBE6A53"/>
    <w:rsid w:val="E5AD6E2D"/>
    <w:rsid w:val="E6158FF0"/>
    <w:rsid w:val="EB7DF675"/>
    <w:rsid w:val="EB7F09F1"/>
    <w:rsid w:val="EBA7DFAD"/>
    <w:rsid w:val="EBBE9A3A"/>
    <w:rsid w:val="EBFB5A03"/>
    <w:rsid w:val="ECE79993"/>
    <w:rsid w:val="EDB36725"/>
    <w:rsid w:val="EEEE6314"/>
    <w:rsid w:val="EF3EEF6D"/>
    <w:rsid w:val="EFB79341"/>
    <w:rsid w:val="EFDD2019"/>
    <w:rsid w:val="EFFE5D64"/>
    <w:rsid w:val="F35EDFF3"/>
    <w:rsid w:val="F775D2E8"/>
    <w:rsid w:val="F77D8E7A"/>
    <w:rsid w:val="F77FE49B"/>
    <w:rsid w:val="F79F3EBD"/>
    <w:rsid w:val="F7AF0ABC"/>
    <w:rsid w:val="F7EFB80E"/>
    <w:rsid w:val="F82F1208"/>
    <w:rsid w:val="FADFB405"/>
    <w:rsid w:val="FAF726D9"/>
    <w:rsid w:val="FB6511AD"/>
    <w:rsid w:val="FB7F296A"/>
    <w:rsid w:val="FBFE2B63"/>
    <w:rsid w:val="FCEB18B4"/>
    <w:rsid w:val="FCFF3DE1"/>
    <w:rsid w:val="FD5F52D4"/>
    <w:rsid w:val="FDFBE951"/>
    <w:rsid w:val="FDFD3B37"/>
    <w:rsid w:val="FED7144C"/>
    <w:rsid w:val="FEEFFA48"/>
    <w:rsid w:val="FEFBE228"/>
    <w:rsid w:val="FEFE6C4B"/>
    <w:rsid w:val="FEFF5B01"/>
    <w:rsid w:val="FF66BBF5"/>
    <w:rsid w:val="FF7BD71A"/>
    <w:rsid w:val="FF7F4408"/>
    <w:rsid w:val="FF7F88DD"/>
    <w:rsid w:val="FF871817"/>
    <w:rsid w:val="FF9BC896"/>
    <w:rsid w:val="FFBF49EE"/>
    <w:rsid w:val="FFDA18BF"/>
    <w:rsid w:val="FFEEC8EF"/>
    <w:rsid w:val="FFF7EE43"/>
    <w:rsid w:val="FFFD08E8"/>
    <w:rsid w:val="FFFF9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numPr>
        <w:ilvl w:val="1"/>
        <w:numId w:val="1"/>
      </w:numPr>
      <w:spacing w:line="360" w:lineRule="auto"/>
      <w:jc w:val="left"/>
      <w:outlineLvl w:val="1"/>
    </w:pPr>
    <w:rPr>
      <w:rFonts w:ascii="宋体" w:hAnsi="宋体" w:eastAsia="黑体" w:cstheme="majorBidi"/>
      <w:b/>
      <w:bCs/>
      <w:kern w:val="0"/>
      <w:sz w:val="24"/>
      <w:szCs w:val="36"/>
    </w:rPr>
  </w:style>
  <w:style w:type="paragraph" w:styleId="3">
    <w:name w:val="heading 3"/>
    <w:basedOn w:val="1"/>
    <w:next w:val="1"/>
    <w:link w:val="19"/>
    <w:unhideWhenUsed/>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link w:val="15"/>
    <w:qFormat/>
    <w:uiPriority w:val="0"/>
    <w:rPr>
      <w:rFonts w:ascii="Times New Roman" w:hAnsi="Times New Roman" w:eastAsia="宋体" w:cs="Times New Roman"/>
      <w:sz w:val="28"/>
      <w:szCs w:val="20"/>
    </w:rPr>
  </w:style>
  <w:style w:type="paragraph" w:styleId="6">
    <w:name w:val="Balloon Text"/>
    <w:basedOn w:val="1"/>
    <w:link w:val="18"/>
    <w:semiHidden/>
    <w:unhideWhenUsed/>
    <w:qFormat/>
    <w:uiPriority w:val="0"/>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Autospacing="1" w:afterAutospacing="1"/>
      <w:jc w:val="left"/>
    </w:pPr>
    <w:rPr>
      <w:rFonts w:cs="Times New Roman"/>
      <w:kern w:val="0"/>
      <w:sz w:val="24"/>
    </w:rPr>
  </w:style>
  <w:style w:type="paragraph" w:styleId="9">
    <w:name w:val="Body Text First Indent"/>
    <w:basedOn w:val="5"/>
    <w:unhideWhenUsed/>
    <w:qFormat/>
    <w:uiPriority w:val="99"/>
    <w:pPr>
      <w:spacing w:after="120"/>
      <w:ind w:firstLine="420" w:firstLineChars="100"/>
      <w:jc w:val="left"/>
    </w:pPr>
    <w:rPr>
      <w:rFonts w:ascii="宋体" w:hAnsiTheme="minorHAnsi" w:eastAsiaTheme="minorEastAsia" w:cstheme="minorBidi"/>
      <w:sz w:val="21"/>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character" w:customStyle="1" w:styleId="14">
    <w:name w:val="页眉 Char"/>
    <w:basedOn w:val="12"/>
    <w:link w:val="7"/>
    <w:qFormat/>
    <w:uiPriority w:val="0"/>
    <w:rPr>
      <w:kern w:val="2"/>
      <w:sz w:val="18"/>
      <w:szCs w:val="18"/>
    </w:rPr>
  </w:style>
  <w:style w:type="character" w:customStyle="1" w:styleId="15">
    <w:name w:val="正文文本 Char"/>
    <w:basedOn w:val="12"/>
    <w:link w:val="5"/>
    <w:qFormat/>
    <w:uiPriority w:val="0"/>
    <w:rPr>
      <w:rFonts w:ascii="Times New Roman" w:hAnsi="Times New Roman" w:eastAsia="宋体" w:cs="Times New Roman"/>
      <w:kern w:val="2"/>
      <w:sz w:val="28"/>
    </w:rPr>
  </w:style>
  <w:style w:type="paragraph" w:styleId="16">
    <w:name w:val="List Paragraph"/>
    <w:basedOn w:val="1"/>
    <w:qFormat/>
    <w:uiPriority w:val="34"/>
    <w:pPr>
      <w:ind w:firstLine="420" w:firstLineChars="200"/>
    </w:pPr>
    <w:rPr>
      <w:rFonts w:ascii="Times New Roman" w:hAnsi="Times New Roman" w:cs="Times New Roman"/>
    </w:rPr>
  </w:style>
  <w:style w:type="paragraph" w:customStyle="1" w:styleId="17">
    <w:name w:val="列出段落1"/>
    <w:basedOn w:val="1"/>
    <w:qFormat/>
    <w:uiPriority w:val="34"/>
    <w:pPr>
      <w:spacing w:after="120" w:line="360" w:lineRule="auto"/>
      <w:ind w:firstLine="420"/>
    </w:pPr>
    <w:rPr>
      <w:rFonts w:ascii="Arial" w:hAnsi="Arial" w:eastAsia="宋体" w:cs="Times New Roman"/>
      <w:sz w:val="24"/>
      <w:szCs w:val="20"/>
    </w:rPr>
  </w:style>
  <w:style w:type="character" w:customStyle="1" w:styleId="18">
    <w:name w:val="批注框文本 Char"/>
    <w:basedOn w:val="12"/>
    <w:link w:val="6"/>
    <w:semiHidden/>
    <w:qFormat/>
    <w:uiPriority w:val="0"/>
    <w:rPr>
      <w:rFonts w:asciiTheme="minorHAnsi" w:hAnsiTheme="minorHAnsi" w:eastAsiaTheme="minorEastAsia" w:cstheme="minorBidi"/>
      <w:kern w:val="2"/>
      <w:sz w:val="18"/>
      <w:szCs w:val="18"/>
    </w:rPr>
  </w:style>
  <w:style w:type="character" w:customStyle="1" w:styleId="19">
    <w:name w:val="标题 3 Char"/>
    <w:basedOn w:val="12"/>
    <w:link w:val="3"/>
    <w:qFormat/>
    <w:uiPriority w:val="0"/>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561</Words>
  <Characters>576</Characters>
  <Lines>16</Lines>
  <Paragraphs>4</Paragraphs>
  <TotalTime>97</TotalTime>
  <ScaleCrop>false</ScaleCrop>
  <LinksUpToDate>false</LinksUpToDate>
  <CharactersWithSpaces>576</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2026-04-20T02:24:00Z</dcterms:created>
  <dc:creator>Administrator</dc:creator>
  <cp:lastModifiedBy>Kongkong</cp:lastModifiedBy>
  <dcterms:modified xsi:type="dcterms:W3CDTF">2026-05-09T10:34:54Z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ICV">
    <vt:lpwstr>01107ABAAE5144CA8C3D720753319379_13</vt:lpwstr>
  </property>
  <property fmtid="{D5CDD505-2E9C-101B-9397-08002B2CF9AE}" pid="4" name="KSOTemplateDocerSaveRecord">
    <vt:lpwstr>eyJoZGlkIjoiMjAwYTg1YzFhZTMzN2JjOWQyMGM3NDY2MzMyMTRjODIiLCJ1c2VySWQiOiIyNDA4Mjk1NyJ9</vt:lpwstr>
  </property>
</Properties>
</file>